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67848">
      <w:pPr>
        <w:jc w:val="center"/>
        <w:rPr>
          <w:rFonts w:hint="default" w:ascii="Book Antiqua" w:hAnsi="Book Antiqua" w:cs="Book Antiqua"/>
          <w:b/>
          <w:bCs/>
          <w:sz w:val="24"/>
          <w:szCs w:val="24"/>
          <w:highlight w:val="none"/>
          <w:lang w:val="en-GB"/>
        </w:rPr>
      </w:pPr>
      <w:bookmarkStart w:id="0" w:name="_GoBack"/>
      <w:bookmarkEnd w:id="0"/>
      <w:r>
        <w:rPr>
          <w:rFonts w:hint="default" w:ascii="Book Antiqua" w:hAnsi="Book Antiqua" w:cs="Book Antiqua"/>
          <w:b/>
          <w:bCs/>
          <w:sz w:val="24"/>
          <w:szCs w:val="24"/>
          <w:highlight w:val="none"/>
          <w:lang w:val="en-GB"/>
        </w:rPr>
        <w:t>Table of Responses based on Review</w:t>
      </w:r>
    </w:p>
    <w:p w14:paraId="2AC53095">
      <w:pPr>
        <w:jc w:val="left"/>
        <w:rPr>
          <w:rFonts w:hint="default" w:ascii="Book Antiqua" w:hAnsi="Book Antiqua" w:eastAsia="SimSun" w:cs="Book Antiqua"/>
          <w:i w:val="0"/>
          <w:iCs w:val="0"/>
          <w:caps w:val="0"/>
          <w:color w:val="222222"/>
          <w:spacing w:val="0"/>
          <w:sz w:val="22"/>
          <w:szCs w:val="22"/>
          <w:highlight w:val="none"/>
          <w:shd w:val="clear" w:fill="FFFFFF"/>
        </w:rPr>
      </w:pPr>
      <w:r>
        <w:rPr>
          <w:rFonts w:hint="default" w:ascii="Book Antiqua" w:hAnsi="Book Antiqua" w:eastAsia="SimSun" w:cs="Book Antiqua"/>
          <w:b/>
          <w:bCs/>
          <w:i w:val="0"/>
          <w:iCs w:val="0"/>
          <w:caps w:val="0"/>
          <w:color w:val="222222"/>
          <w:spacing w:val="0"/>
          <w:sz w:val="22"/>
          <w:szCs w:val="22"/>
          <w:highlight w:val="none"/>
          <w:shd w:val="clear" w:fill="FFFFFF"/>
          <w:lang w:val="en-GB"/>
        </w:rPr>
        <w:t>Journal</w:t>
      </w:r>
      <w:r>
        <w:rPr>
          <w:rFonts w:hint="default" w:ascii="Book Antiqua" w:hAnsi="Book Antiqua" w:eastAsia="SimSun" w:cs="Book Antiqua"/>
          <w:i w:val="0"/>
          <w:iCs w:val="0"/>
          <w:caps w:val="0"/>
          <w:color w:val="222222"/>
          <w:spacing w:val="0"/>
          <w:sz w:val="22"/>
          <w:szCs w:val="22"/>
          <w:highlight w:val="none"/>
          <w:shd w:val="clear" w:fill="FFFFFF"/>
          <w:lang w:val="en-GB"/>
        </w:rPr>
        <w:t xml:space="preserve">: </w:t>
      </w:r>
      <w:r>
        <w:rPr>
          <w:rFonts w:hint="default" w:ascii="Book Antiqua" w:hAnsi="Book Antiqua" w:eastAsia="SimSun" w:cs="Book Antiqua"/>
          <w:i w:val="0"/>
          <w:iCs w:val="0"/>
          <w:caps w:val="0"/>
          <w:color w:val="222222"/>
          <w:spacing w:val="0"/>
          <w:sz w:val="22"/>
          <w:szCs w:val="22"/>
          <w:highlight w:val="none"/>
          <w:shd w:val="clear" w:fill="FFFFFF"/>
        </w:rPr>
        <w:t>International Journal of</w:t>
      </w:r>
      <w:r>
        <w:rPr>
          <w:rFonts w:hint="default" w:ascii="Book Antiqua" w:hAnsi="Book Antiqua" w:eastAsia="SimSun" w:cs="Book Antiqua"/>
          <w:i w:val="0"/>
          <w:iCs w:val="0"/>
          <w:caps w:val="0"/>
          <w:color w:val="222222"/>
          <w:spacing w:val="0"/>
          <w:sz w:val="22"/>
          <w:szCs w:val="22"/>
          <w:highlight w:val="none"/>
          <w:shd w:val="clear" w:fill="FFFFFF"/>
          <w:lang w:val="en-GB"/>
        </w:rPr>
        <w:t xml:space="preserve"> </w:t>
      </w:r>
      <w:r>
        <w:rPr>
          <w:rFonts w:hint="default" w:ascii="Book Antiqua" w:hAnsi="Book Antiqua" w:eastAsia="SimSun" w:cs="Book Antiqua"/>
          <w:i w:val="0"/>
          <w:iCs w:val="0"/>
          <w:caps w:val="0"/>
          <w:color w:val="222222"/>
          <w:spacing w:val="0"/>
          <w:sz w:val="22"/>
          <w:szCs w:val="22"/>
          <w:highlight w:val="none"/>
          <w:shd w:val="clear" w:fill="FFFFFF"/>
        </w:rPr>
        <w:t>Agriculture System</w:t>
      </w:r>
    </w:p>
    <w:p w14:paraId="16D85466">
      <w:pPr>
        <w:jc w:val="left"/>
        <w:rPr>
          <w:rFonts w:hint="default" w:ascii="Book Antiqua" w:hAnsi="Book Antiqua" w:eastAsia="SimSun" w:cs="Book Antiqua"/>
          <w:i w:val="0"/>
          <w:iCs w:val="0"/>
          <w:caps w:val="0"/>
          <w:color w:val="222222"/>
          <w:spacing w:val="0"/>
          <w:sz w:val="22"/>
          <w:szCs w:val="22"/>
          <w:highlight w:val="none"/>
          <w:shd w:val="clear" w:fill="FFFFFF"/>
        </w:rPr>
      </w:pPr>
      <w:r>
        <w:rPr>
          <w:rFonts w:hint="default" w:ascii="Book Antiqua" w:hAnsi="Book Antiqua" w:eastAsia="SimSun" w:cs="Book Antiqua"/>
          <w:b/>
          <w:bCs/>
          <w:i w:val="0"/>
          <w:iCs w:val="0"/>
          <w:caps w:val="0"/>
          <w:color w:val="222222"/>
          <w:spacing w:val="0"/>
          <w:sz w:val="22"/>
          <w:szCs w:val="22"/>
          <w:highlight w:val="none"/>
          <w:shd w:val="clear" w:fill="FFFFFF"/>
          <w:lang w:val="en-GB"/>
        </w:rPr>
        <w:t xml:space="preserve">Manuscript </w:t>
      </w:r>
      <w:r>
        <w:rPr>
          <w:rFonts w:hint="default" w:ascii="Book Antiqua" w:hAnsi="Book Antiqua" w:eastAsia="SimSun" w:cs="Book Antiqua"/>
          <w:b/>
          <w:bCs/>
          <w:i w:val="0"/>
          <w:iCs w:val="0"/>
          <w:caps w:val="0"/>
          <w:color w:val="222222"/>
          <w:spacing w:val="0"/>
          <w:sz w:val="22"/>
          <w:szCs w:val="22"/>
          <w:highlight w:val="none"/>
          <w:shd w:val="clear" w:fill="FFFFFF"/>
        </w:rPr>
        <w:t>title</w:t>
      </w:r>
      <w:r>
        <w:rPr>
          <w:rFonts w:hint="default" w:ascii="Book Antiqua" w:hAnsi="Book Antiqua" w:eastAsia="SimSun" w:cs="Book Antiqua"/>
          <w:i w:val="0"/>
          <w:iCs w:val="0"/>
          <w:caps w:val="0"/>
          <w:color w:val="222222"/>
          <w:spacing w:val="0"/>
          <w:sz w:val="22"/>
          <w:szCs w:val="22"/>
          <w:highlight w:val="none"/>
          <w:shd w:val="clear" w:fill="FFFFFF"/>
        </w:rPr>
        <w:t>: "Effects</w:t>
      </w:r>
      <w:r>
        <w:rPr>
          <w:rFonts w:hint="default" w:ascii="Book Antiqua" w:hAnsi="Book Antiqua" w:eastAsia="SimSun" w:cs="Book Antiqua"/>
          <w:i w:val="0"/>
          <w:iCs w:val="0"/>
          <w:caps w:val="0"/>
          <w:color w:val="222222"/>
          <w:spacing w:val="0"/>
          <w:sz w:val="22"/>
          <w:szCs w:val="22"/>
          <w:highlight w:val="none"/>
          <w:shd w:val="clear" w:fill="FFFFFF"/>
          <w:lang w:val="en-GB"/>
        </w:rPr>
        <w:t xml:space="preserve"> </w:t>
      </w:r>
      <w:r>
        <w:rPr>
          <w:rFonts w:hint="default" w:ascii="Book Antiqua" w:hAnsi="Book Antiqua" w:eastAsia="SimSun" w:cs="Book Antiqua"/>
          <w:i w:val="0"/>
          <w:iCs w:val="0"/>
          <w:caps w:val="0"/>
          <w:color w:val="222222"/>
          <w:spacing w:val="0"/>
          <w:sz w:val="22"/>
          <w:szCs w:val="22"/>
          <w:highlight w:val="none"/>
          <w:shd w:val="clear" w:fill="FFFFFF"/>
        </w:rPr>
        <w:t>of Cassava</w:t>
      </w:r>
      <w:r>
        <w:rPr>
          <w:rFonts w:hint="default" w:ascii="Book Antiqua" w:hAnsi="Book Antiqua" w:eastAsia="SimSun" w:cs="Book Antiqua"/>
          <w:i w:val="0"/>
          <w:iCs w:val="0"/>
          <w:caps w:val="0"/>
          <w:color w:val="222222"/>
          <w:spacing w:val="0"/>
          <w:sz w:val="22"/>
          <w:szCs w:val="22"/>
          <w:highlight w:val="none"/>
          <w:shd w:val="clear" w:fill="FFFFFF"/>
          <w:lang w:val="en-GB"/>
        </w:rPr>
        <w:t>-</w:t>
      </w:r>
      <w:r>
        <w:rPr>
          <w:rFonts w:hint="default" w:ascii="Book Antiqua" w:hAnsi="Book Antiqua" w:eastAsia="SimSun" w:cs="Book Antiqua"/>
          <w:i w:val="0"/>
          <w:iCs w:val="0"/>
          <w:caps w:val="0"/>
          <w:color w:val="222222"/>
          <w:spacing w:val="0"/>
          <w:sz w:val="22"/>
          <w:szCs w:val="22"/>
          <w:highlight w:val="none"/>
          <w:shd w:val="clear" w:fill="FFFFFF"/>
        </w:rPr>
        <w:t>Based Feed on Growth and</w:t>
      </w:r>
      <w:r>
        <w:rPr>
          <w:rFonts w:hint="default" w:ascii="Book Antiqua" w:hAnsi="Book Antiqua" w:eastAsia="SimSun" w:cs="Book Antiqua"/>
          <w:i w:val="0"/>
          <w:iCs w:val="0"/>
          <w:caps w:val="0"/>
          <w:color w:val="222222"/>
          <w:spacing w:val="0"/>
          <w:sz w:val="22"/>
          <w:szCs w:val="22"/>
          <w:highlight w:val="none"/>
          <w:shd w:val="clear" w:fill="FFFFFF"/>
          <w:lang w:val="en-GB"/>
        </w:rPr>
        <w:t xml:space="preserve"> </w:t>
      </w:r>
      <w:r>
        <w:rPr>
          <w:rFonts w:hint="default" w:ascii="Book Antiqua" w:hAnsi="Book Antiqua" w:eastAsia="SimSun" w:cs="Book Antiqua"/>
          <w:i w:val="0"/>
          <w:iCs w:val="0"/>
          <w:caps w:val="0"/>
          <w:color w:val="222222"/>
          <w:spacing w:val="0"/>
          <w:sz w:val="22"/>
          <w:szCs w:val="22"/>
          <w:highlight w:val="none"/>
          <w:shd w:val="clear" w:fill="FFFFFF"/>
        </w:rPr>
        <w:t>Physical Performance of Broilers".</w:t>
      </w:r>
    </w:p>
    <w:p w14:paraId="0BC798DE">
      <w:pPr>
        <w:jc w:val="left"/>
        <w:rPr>
          <w:rFonts w:hint="default" w:ascii="Book Antiqua" w:hAnsi="Book Antiqua" w:eastAsia="SimSun" w:cs="Book Antiqua"/>
          <w:i w:val="0"/>
          <w:iCs w:val="0"/>
          <w:caps w:val="0"/>
          <w:color w:val="222222"/>
          <w:spacing w:val="0"/>
          <w:sz w:val="22"/>
          <w:szCs w:val="22"/>
          <w:highlight w:val="none"/>
          <w:shd w:val="clear" w:fill="FFFFFF"/>
          <w:lang w:val="en-GB"/>
        </w:rPr>
      </w:pPr>
      <w:r>
        <w:rPr>
          <w:rFonts w:hint="default" w:ascii="Book Antiqua" w:hAnsi="Book Antiqua" w:eastAsia="SimSun" w:cs="Book Antiqua"/>
          <w:i w:val="0"/>
          <w:iCs w:val="0"/>
          <w:caps w:val="0"/>
          <w:color w:val="222222"/>
          <w:spacing w:val="0"/>
          <w:sz w:val="22"/>
          <w:szCs w:val="22"/>
          <w:highlight w:val="none"/>
          <w:shd w:val="clear" w:fill="FFFFFF"/>
          <w:lang w:val="en-GB"/>
        </w:rPr>
        <w:t xml:space="preserve">Authors: </w:t>
      </w:r>
      <w:r>
        <w:rPr>
          <w:rFonts w:ascii="Book Antiqua" w:hAnsi="Book Antiqua" w:cs="Book Antiqua"/>
          <w:b/>
        </w:rPr>
        <w:t>Ebiakpo Lucky Daniel, Inibehe George Ukpong*</w:t>
      </w:r>
      <w:r>
        <w:rPr>
          <w:rFonts w:ascii="Book Antiqua" w:hAnsi="Book Antiqua" w:cs="Book Antiqua"/>
          <w:b/>
          <w:lang w:val="en-GB"/>
        </w:rPr>
        <w:t>,</w:t>
      </w:r>
      <w:r>
        <w:rPr>
          <w:rFonts w:ascii="Book Antiqua" w:hAnsi="Book Antiqua" w:cs="Book Antiqua"/>
          <w:b/>
        </w:rPr>
        <w:t xml:space="preserve"> Jonah Saviour</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34"/>
        <w:gridCol w:w="2960"/>
        <w:gridCol w:w="5448"/>
      </w:tblGrid>
      <w:tr w14:paraId="7F4AEF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4" w:type="dxa"/>
          </w:tcPr>
          <w:p w14:paraId="781C8AE1">
            <w:pPr>
              <w:keepNext w:val="0"/>
              <w:keepLines w:val="0"/>
              <w:widowControl/>
              <w:suppressLineNumbers w:val="0"/>
              <w:spacing w:before="0" w:beforeAutospacing="0" w:after="0" w:afterAutospacing="0" w:line="240" w:lineRule="auto"/>
              <w:ind w:left="0" w:right="0"/>
              <w:jc w:val="both"/>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Page No.</w:t>
            </w:r>
          </w:p>
        </w:tc>
        <w:tc>
          <w:tcPr>
            <w:tcW w:w="2960" w:type="dxa"/>
          </w:tcPr>
          <w:p w14:paraId="0A17FA86">
            <w:pPr>
              <w:keepNext w:val="0"/>
              <w:keepLines w:val="0"/>
              <w:widowControl/>
              <w:suppressLineNumbers w:val="0"/>
              <w:spacing w:before="0" w:beforeAutospacing="0" w:after="0" w:afterAutospacing="0" w:line="240" w:lineRule="auto"/>
              <w:ind w:left="0" w:right="0"/>
              <w:jc w:val="center"/>
              <w:rPr>
                <w:rFonts w:hint="default" w:ascii="Book Antiqua" w:hAnsi="Book Antiqua" w:cs="Book Antiqua"/>
                <w:color w:val="auto"/>
                <w:sz w:val="22"/>
                <w:szCs w:val="22"/>
                <w:highlight w:val="none"/>
              </w:rPr>
            </w:pPr>
            <w:r>
              <w:rPr>
                <w:rFonts w:hint="default" w:ascii="Book Antiqua" w:hAnsi="Book Antiqua" w:cs="Book Antiqua"/>
                <w:color w:val="auto"/>
                <w:sz w:val="22"/>
                <w:szCs w:val="22"/>
                <w:highlight w:val="none"/>
              </w:rPr>
              <w:t>COMMENT</w:t>
            </w:r>
          </w:p>
        </w:tc>
        <w:tc>
          <w:tcPr>
            <w:tcW w:w="5448" w:type="dxa"/>
          </w:tcPr>
          <w:p w14:paraId="21450554">
            <w:pPr>
              <w:keepNext w:val="0"/>
              <w:keepLines w:val="0"/>
              <w:widowControl/>
              <w:suppressLineNumbers w:val="0"/>
              <w:spacing w:before="0" w:beforeAutospacing="0" w:after="0" w:afterAutospacing="0" w:line="240" w:lineRule="auto"/>
              <w:ind w:left="0" w:right="0"/>
              <w:jc w:val="center"/>
              <w:rPr>
                <w:rFonts w:hint="default" w:ascii="Book Antiqua" w:hAnsi="Book Antiqua" w:cs="Book Antiqua"/>
                <w:color w:val="auto"/>
                <w:sz w:val="22"/>
                <w:szCs w:val="22"/>
                <w:highlight w:val="none"/>
              </w:rPr>
            </w:pPr>
            <w:r>
              <w:rPr>
                <w:rFonts w:hint="default" w:ascii="Book Antiqua" w:hAnsi="Book Antiqua" w:cs="Book Antiqua"/>
                <w:color w:val="auto"/>
                <w:sz w:val="22"/>
                <w:szCs w:val="22"/>
                <w:highlight w:val="none"/>
              </w:rPr>
              <w:t>RESPONSE</w:t>
            </w:r>
          </w:p>
        </w:tc>
      </w:tr>
      <w:tr w14:paraId="6CCB5A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4" w:type="dxa"/>
            <w:vAlign w:val="top"/>
          </w:tcPr>
          <w:p w14:paraId="2242A10B">
            <w:pPr>
              <w:keepNext w:val="0"/>
              <w:keepLines w:val="0"/>
              <w:widowControl/>
              <w:suppressLineNumbers w:val="0"/>
              <w:spacing w:before="0" w:beforeAutospacing="0" w:after="0" w:afterAutospacing="0" w:line="240" w:lineRule="auto"/>
              <w:ind w:left="0" w:right="0"/>
              <w:jc w:val="center"/>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1.</w:t>
            </w:r>
          </w:p>
        </w:tc>
        <w:tc>
          <w:tcPr>
            <w:tcW w:w="2960" w:type="dxa"/>
            <w:vAlign w:val="top"/>
          </w:tcPr>
          <w:p w14:paraId="002CB275">
            <w:pPr>
              <w:keepNext w:val="0"/>
              <w:keepLines w:val="0"/>
              <w:widowControl/>
              <w:suppressLineNumbers w:val="0"/>
              <w:spacing w:before="0" w:beforeAutospacing="0" w:after="0" w:afterAutospacing="0" w:line="240" w:lineRule="auto"/>
              <w:ind w:left="0" w:right="0"/>
              <w:rPr>
                <w:rFonts w:hint="default" w:ascii="Book Antiqua" w:hAnsi="Book Antiqua" w:cs="Book Antiqua"/>
                <w:color w:val="auto"/>
                <w:sz w:val="22"/>
                <w:szCs w:val="22"/>
                <w:highlight w:val="none"/>
              </w:rPr>
            </w:pPr>
            <w:r>
              <w:rPr>
                <w:rFonts w:hint="default" w:ascii="Book Antiqua" w:hAnsi="Book Antiqua" w:cs="Book Antiqua"/>
                <w:color w:val="auto"/>
                <w:sz w:val="22"/>
                <w:szCs w:val="22"/>
                <w:highlight w:val="none"/>
              </w:rPr>
              <w:t>Which is better: cassava root or cassava leaf meal?</w:t>
            </w:r>
          </w:p>
        </w:tc>
        <w:tc>
          <w:tcPr>
            <w:tcW w:w="5448" w:type="dxa"/>
            <w:vAlign w:val="top"/>
          </w:tcPr>
          <w:p w14:paraId="473535B6">
            <w:pPr>
              <w:pStyle w:val="8"/>
              <w:keepNext w:val="0"/>
              <w:keepLines w:val="0"/>
              <w:widowControl/>
              <w:suppressLineNumbers w:val="0"/>
              <w:ind w:left="0" w:right="0"/>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The statement has been updated to specify the distinctive relevance of cassava roots and leaf.</w:t>
            </w:r>
          </w:p>
          <w:p w14:paraId="3206B41A">
            <w:pPr>
              <w:pStyle w:val="8"/>
              <w:keepNext w:val="0"/>
              <w:keepLines w:val="0"/>
              <w:widowControl/>
              <w:suppressLineNumbers w:val="0"/>
              <w:ind w:left="0" w:right="0"/>
              <w:rPr>
                <w:rFonts w:hint="default" w:ascii="Book Antiqua" w:hAnsi="Book Antiqua" w:cs="Book Antiqua"/>
                <w:color w:val="auto"/>
                <w:sz w:val="22"/>
                <w:szCs w:val="22"/>
                <w:highlight w:val="none"/>
              </w:rPr>
            </w:pPr>
            <w:r>
              <w:rPr>
                <w:rFonts w:hint="default" w:ascii="Book Antiqua" w:hAnsi="Book Antiqua" w:cs="Book Antiqua"/>
                <w:b w:val="0"/>
                <w:bCs w:val="0"/>
                <w:color w:val="auto"/>
                <w:sz w:val="22"/>
                <w:szCs w:val="22"/>
                <w:highlight w:val="none"/>
              </w:rPr>
              <w:t>When properly processed, cassava root meal can replace maize (as an energy source), and cassava leaf meal can partially replace soybean meal (as a protein source) in livestock diets — particularly for broilers and fish.</w:t>
            </w:r>
          </w:p>
        </w:tc>
      </w:tr>
      <w:tr w14:paraId="3B541F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4" w:type="dxa"/>
            <w:vAlign w:val="top"/>
          </w:tcPr>
          <w:p w14:paraId="018D415C">
            <w:pPr>
              <w:keepNext w:val="0"/>
              <w:keepLines w:val="0"/>
              <w:widowControl/>
              <w:suppressLineNumbers w:val="0"/>
              <w:spacing w:before="0" w:beforeAutospacing="0" w:after="0" w:afterAutospacing="0" w:line="240" w:lineRule="auto"/>
              <w:ind w:left="0" w:right="0"/>
              <w:jc w:val="center"/>
              <w:rPr>
                <w:rFonts w:hint="default" w:ascii="Book Antiqua" w:hAnsi="Book Antiqua" w:cs="Book Antiqua"/>
                <w:color w:val="auto"/>
                <w:sz w:val="22"/>
                <w:szCs w:val="22"/>
                <w:highlight w:val="none"/>
                <w:lang w:val="en-GB"/>
              </w:rPr>
            </w:pPr>
          </w:p>
        </w:tc>
        <w:tc>
          <w:tcPr>
            <w:tcW w:w="2960" w:type="dxa"/>
            <w:vAlign w:val="top"/>
          </w:tcPr>
          <w:p w14:paraId="3F1EAD73">
            <w:pPr>
              <w:keepNext w:val="0"/>
              <w:keepLines w:val="0"/>
              <w:widowControl/>
              <w:suppressLineNumbers w:val="0"/>
              <w:spacing w:before="0" w:beforeAutospacing="0" w:afterAutospacing="0"/>
              <w:ind w:left="0" w:right="0"/>
              <w:rPr>
                <w:rFonts w:hint="default" w:ascii="Book Antiqua" w:hAnsi="Book Antiqua" w:cs="Book Antiqua"/>
                <w:color w:val="auto"/>
                <w:sz w:val="22"/>
                <w:szCs w:val="22"/>
                <w:highlight w:val="none"/>
              </w:rPr>
            </w:pPr>
            <w:r>
              <w:rPr>
                <w:rFonts w:hint="default" w:ascii="Book Antiqua" w:hAnsi="Book Antiqua" w:cs="Book Antiqua"/>
                <w:color w:val="auto"/>
                <w:sz w:val="22"/>
                <w:szCs w:val="22"/>
                <w:highlight w:val="none"/>
              </w:rPr>
              <w:t>Why did you mention this in your recommendation? In fact, you didn’t mention it before, not even in your method.</w:t>
            </w:r>
          </w:p>
          <w:p w14:paraId="7AE33475">
            <w:pPr>
              <w:keepNext w:val="0"/>
              <w:keepLines w:val="0"/>
              <w:widowControl/>
              <w:suppressLineNumbers w:val="0"/>
              <w:spacing w:before="0" w:beforeAutospacing="0" w:after="0" w:afterAutospacing="0" w:line="240" w:lineRule="auto"/>
              <w:ind w:left="0" w:right="0"/>
              <w:rPr>
                <w:rFonts w:hint="default" w:ascii="Book Antiqua" w:hAnsi="Book Antiqua" w:cs="Book Antiqua"/>
                <w:color w:val="auto"/>
                <w:sz w:val="22"/>
                <w:szCs w:val="22"/>
                <w:highlight w:val="none"/>
              </w:rPr>
            </w:pPr>
          </w:p>
        </w:tc>
        <w:tc>
          <w:tcPr>
            <w:tcW w:w="5448" w:type="dxa"/>
            <w:vAlign w:val="top"/>
          </w:tcPr>
          <w:p w14:paraId="3A1319CB">
            <w:pPr>
              <w:pStyle w:val="8"/>
              <w:keepNext w:val="0"/>
              <w:keepLines w:val="0"/>
              <w:widowControl/>
              <w:suppressLineNumbers w:val="0"/>
              <w:ind w:left="0" w:right="0"/>
              <w:rPr>
                <w:rFonts w:hint="default" w:ascii="Book Antiqua" w:hAnsi="Book Antiqua" w:cs="Book Antiqua"/>
                <w:b w:val="0"/>
                <w:bCs w:val="0"/>
                <w:color w:val="auto"/>
                <w:sz w:val="22"/>
                <w:szCs w:val="22"/>
                <w:highlight w:val="none"/>
                <w:lang w:val="en-GB"/>
              </w:rPr>
            </w:pPr>
            <w:r>
              <w:rPr>
                <w:rFonts w:hint="default" w:ascii="Book Antiqua" w:hAnsi="Book Antiqua" w:cs="Book Antiqua"/>
                <w:b w:val="0"/>
                <w:bCs w:val="0"/>
                <w:color w:val="auto"/>
                <w:sz w:val="22"/>
                <w:szCs w:val="22"/>
                <w:highlight w:val="none"/>
                <w:lang w:val="en-GB"/>
              </w:rPr>
              <w:t>Statement has been updated to explain reviewer’s observation. “Fish meal is a common ingredient in all the treatments and has been indicated in the body of work as FM which has now been explained.</w:t>
            </w:r>
          </w:p>
        </w:tc>
      </w:tr>
      <w:tr w14:paraId="1A8B0C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4" w:type="dxa"/>
          </w:tcPr>
          <w:p w14:paraId="39767700">
            <w:pPr>
              <w:keepNext w:val="0"/>
              <w:keepLines w:val="0"/>
              <w:widowControl/>
              <w:suppressLineNumbers w:val="0"/>
              <w:spacing w:before="0" w:beforeAutospacing="0" w:after="0" w:afterAutospacing="0" w:line="240" w:lineRule="auto"/>
              <w:ind w:left="0" w:right="0"/>
              <w:jc w:val="center"/>
              <w:rPr>
                <w:rFonts w:hint="default" w:ascii="Book Antiqua" w:hAnsi="Book Antiqua" w:cs="Book Antiqua"/>
                <w:color w:val="auto"/>
                <w:sz w:val="22"/>
                <w:szCs w:val="22"/>
                <w:highlight w:val="none"/>
              </w:rPr>
            </w:pPr>
            <w:r>
              <w:rPr>
                <w:rFonts w:hint="default" w:ascii="Book Antiqua" w:hAnsi="Book Antiqua" w:cs="Book Antiqua"/>
                <w:color w:val="auto"/>
                <w:sz w:val="22"/>
                <w:szCs w:val="22"/>
                <w:highlight w:val="none"/>
              </w:rPr>
              <w:t>1</w:t>
            </w:r>
          </w:p>
        </w:tc>
        <w:tc>
          <w:tcPr>
            <w:tcW w:w="2960" w:type="dxa"/>
          </w:tcPr>
          <w:p w14:paraId="2B9ACDB2">
            <w:pPr>
              <w:keepNext w:val="0"/>
              <w:keepLines w:val="0"/>
              <w:widowControl/>
              <w:suppressLineNumbers w:val="0"/>
              <w:spacing w:before="0" w:beforeAutospacing="0" w:after="0" w:afterAutospacing="0" w:line="240" w:lineRule="auto"/>
              <w:ind w:left="0" w:right="0"/>
              <w:rPr>
                <w:rFonts w:hint="default" w:ascii="Book Antiqua" w:hAnsi="Book Antiqua" w:cs="Book Antiqua"/>
                <w:color w:val="auto"/>
                <w:sz w:val="22"/>
                <w:szCs w:val="22"/>
                <w:highlight w:val="none"/>
              </w:rPr>
            </w:pPr>
            <w:r>
              <w:rPr>
                <w:rFonts w:hint="default" w:ascii="Book Antiqua" w:hAnsi="Book Antiqua" w:cs="Book Antiqua"/>
                <w:color w:val="auto"/>
                <w:sz w:val="22"/>
                <w:szCs w:val="22"/>
                <w:highlight w:val="none"/>
              </w:rPr>
              <w:t>Why is the second group 26 instead of 25, as in the first group?</w:t>
            </w:r>
          </w:p>
        </w:tc>
        <w:tc>
          <w:tcPr>
            <w:tcW w:w="5448" w:type="dxa"/>
          </w:tcPr>
          <w:p w14:paraId="10A3563B">
            <w:pPr>
              <w:keepNext w:val="0"/>
              <w:keepLines w:val="0"/>
              <w:widowControl/>
              <w:suppressLineNumbers w:val="0"/>
              <w:spacing w:before="0" w:beforeAutospacing="0" w:after="0" w:afterAutospacing="0" w:line="240" w:lineRule="auto"/>
              <w:ind w:left="0" w:right="0"/>
              <w:jc w:val="both"/>
              <w:rPr>
                <w:rFonts w:hint="default" w:ascii="Book Antiqua" w:hAnsi="Book Antiqua" w:cs="Book Antiqua"/>
                <w:color w:val="auto"/>
                <w:sz w:val="22"/>
                <w:szCs w:val="22"/>
                <w:highlight w:val="none"/>
                <w:lang w:val="en-GB"/>
              </w:rPr>
            </w:pPr>
            <w:r>
              <w:rPr>
                <w:rFonts w:hint="default" w:ascii="Book Antiqua" w:hAnsi="Book Antiqua" w:eastAsia="SimSun" w:cs="Book Antiqua"/>
                <w:color w:val="auto"/>
                <w:sz w:val="22"/>
                <w:szCs w:val="22"/>
                <w:highlight w:val="none"/>
              </w:rPr>
              <w:t>In commercial poultry marketing, it is a standard practice for a carton of 50 day-old chicks to contain 51 chicks to account for potential early mortality. Consequently, the extra chick could not be excluded without deviating from established procedures and was therefore assigned to one of the treatment groups. This slight variation in the number of chicks per group did not affect the experimental process or compromise the integrity of the results</w:t>
            </w:r>
            <w:r>
              <w:rPr>
                <w:rFonts w:hint="default" w:ascii="Book Antiqua" w:hAnsi="Book Antiqua" w:eastAsia="SimSun" w:cs="Book Antiqua"/>
                <w:color w:val="auto"/>
                <w:sz w:val="22"/>
                <w:szCs w:val="22"/>
                <w:highlight w:val="none"/>
                <w:lang w:val="en-GB"/>
              </w:rPr>
              <w:t>.</w:t>
            </w:r>
          </w:p>
        </w:tc>
      </w:tr>
      <w:tr w14:paraId="70D14D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4" w:type="dxa"/>
          </w:tcPr>
          <w:p w14:paraId="2C16BF39">
            <w:pPr>
              <w:keepNext w:val="0"/>
              <w:keepLines w:val="0"/>
              <w:widowControl/>
              <w:suppressLineNumbers w:val="0"/>
              <w:spacing w:before="0" w:beforeAutospacing="0" w:after="0" w:afterAutospacing="0" w:line="240" w:lineRule="auto"/>
              <w:ind w:left="0" w:right="0"/>
              <w:jc w:val="center"/>
              <w:rPr>
                <w:rFonts w:hint="default" w:ascii="Book Antiqua" w:hAnsi="Book Antiqua" w:cs="Book Antiqua"/>
                <w:color w:val="auto"/>
                <w:sz w:val="22"/>
                <w:szCs w:val="22"/>
                <w:highlight w:val="none"/>
              </w:rPr>
            </w:pPr>
          </w:p>
        </w:tc>
        <w:tc>
          <w:tcPr>
            <w:tcW w:w="2960" w:type="dxa"/>
          </w:tcPr>
          <w:p w14:paraId="2A0BCBE5">
            <w:pPr>
              <w:keepNext w:val="0"/>
              <w:keepLines w:val="0"/>
              <w:widowControl/>
              <w:suppressLineNumbers w:val="0"/>
              <w:spacing w:before="0" w:beforeAutospacing="0" w:after="0" w:afterAutospacing="0" w:line="240" w:lineRule="auto"/>
              <w:ind w:left="0" w:right="0"/>
              <w:rPr>
                <w:rFonts w:hint="default" w:ascii="Book Antiqua" w:hAnsi="Book Antiqua" w:cs="Book Antiqua"/>
                <w:color w:val="auto"/>
                <w:sz w:val="22"/>
                <w:szCs w:val="22"/>
                <w:highlight w:val="none"/>
              </w:rPr>
            </w:pPr>
          </w:p>
        </w:tc>
        <w:tc>
          <w:tcPr>
            <w:tcW w:w="5448" w:type="dxa"/>
          </w:tcPr>
          <w:p w14:paraId="167218CB">
            <w:pPr>
              <w:keepNext w:val="0"/>
              <w:keepLines w:val="0"/>
              <w:widowControl/>
              <w:suppressLineNumbers w:val="0"/>
              <w:spacing w:before="0" w:beforeAutospacing="0" w:after="0" w:afterAutospacing="0" w:line="240" w:lineRule="auto"/>
              <w:ind w:left="0" w:right="0"/>
              <w:jc w:val="both"/>
              <w:rPr>
                <w:rFonts w:hint="default" w:ascii="Book Antiqua" w:hAnsi="Book Antiqua" w:eastAsia="SimSun" w:cs="Book Antiqua"/>
                <w:color w:val="auto"/>
                <w:sz w:val="22"/>
                <w:szCs w:val="22"/>
                <w:highlight w:val="none"/>
              </w:rPr>
            </w:pPr>
          </w:p>
        </w:tc>
      </w:tr>
      <w:tr w14:paraId="07078D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4" w:type="dxa"/>
          </w:tcPr>
          <w:p w14:paraId="01682104">
            <w:pPr>
              <w:keepNext w:val="0"/>
              <w:keepLines w:val="0"/>
              <w:widowControl/>
              <w:suppressLineNumbers w:val="0"/>
              <w:spacing w:before="0" w:beforeAutospacing="0" w:after="0" w:afterAutospacing="0" w:line="240" w:lineRule="auto"/>
              <w:ind w:left="0" w:right="0"/>
              <w:jc w:val="center"/>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1</w:t>
            </w:r>
          </w:p>
        </w:tc>
        <w:tc>
          <w:tcPr>
            <w:tcW w:w="2960" w:type="dxa"/>
          </w:tcPr>
          <w:p w14:paraId="0A661520">
            <w:pPr>
              <w:keepNext w:val="0"/>
              <w:keepLines w:val="0"/>
              <w:widowControl/>
              <w:suppressLineNumbers w:val="0"/>
              <w:spacing w:before="0" w:beforeAutospacing="0" w:after="0" w:afterAutospacing="0" w:line="240" w:lineRule="auto"/>
              <w:ind w:left="0" w:right="0"/>
              <w:rPr>
                <w:rFonts w:hint="default" w:ascii="Book Antiqua" w:hAnsi="Book Antiqua" w:cs="Book Antiqua"/>
                <w:color w:val="auto"/>
                <w:sz w:val="22"/>
                <w:szCs w:val="22"/>
                <w:highlight w:val="none"/>
              </w:rPr>
            </w:pPr>
            <w:r>
              <w:rPr>
                <w:rFonts w:hint="default" w:ascii="Book Antiqua" w:hAnsi="Book Antiqua" w:cs="Book Antiqua"/>
                <w:color w:val="auto"/>
                <w:sz w:val="22"/>
                <w:szCs w:val="22"/>
                <w:highlight w:val="none"/>
              </w:rPr>
              <w:t>Can you clarify what you mean by treatment A being 50% for 4 treatment, which totals 200%?</w:t>
            </w:r>
          </w:p>
        </w:tc>
        <w:tc>
          <w:tcPr>
            <w:tcW w:w="5448" w:type="dxa"/>
          </w:tcPr>
          <w:p w14:paraId="59B3F3FA">
            <w:pPr>
              <w:pStyle w:val="8"/>
              <w:keepNext w:val="0"/>
              <w:keepLines w:val="0"/>
              <w:widowControl/>
              <w:suppressLineNumbers w:val="0"/>
              <w:ind w:left="0" w:right="0"/>
              <w:rPr>
                <w:rFonts w:hint="default" w:ascii="Book Antiqua" w:hAnsi="Book Antiqua" w:cs="Book Antiqua"/>
                <w:color w:val="auto"/>
                <w:sz w:val="22"/>
                <w:szCs w:val="22"/>
                <w:highlight w:val="none"/>
                <w:lang w:val="en-US"/>
              </w:rPr>
            </w:pPr>
            <w:r>
              <w:rPr>
                <w:rFonts w:hint="default" w:ascii="Book Antiqua" w:hAnsi="Book Antiqua" w:cs="Book Antiqua"/>
                <w:color w:val="auto"/>
                <w:sz w:val="22"/>
                <w:szCs w:val="22"/>
                <w:highlight w:val="none"/>
                <w:lang w:val="en-US"/>
              </w:rPr>
              <w:t xml:space="preserve">We appreciate the reviewer’s observation. The use of '50%' for multiple ingredients in the description of Treatment A were not intended to be additive across ingredients. It was not intended to imply that the percentages should be summed to 200%. Rather, each ingredient (cassava root meal, cassava leaf meal, maize, and fresh soybean) contributed equally to the composition of the feed mixture used in Treatment A, based on their proportions relative to the total feed formulation. </w:t>
            </w:r>
          </w:p>
          <w:p w14:paraId="28561D4B">
            <w:pPr>
              <w:pStyle w:val="8"/>
              <w:keepNext w:val="0"/>
              <w:keepLines w:val="0"/>
              <w:widowControl/>
              <w:suppressLineNumbers w:val="0"/>
              <w:ind w:left="0" w:right="0"/>
              <w:rPr>
                <w:rFonts w:hint="default" w:ascii="Book Antiqua" w:hAnsi="Book Antiqua" w:cs="Book Antiqua"/>
                <w:color w:val="auto"/>
                <w:sz w:val="22"/>
                <w:szCs w:val="22"/>
                <w:highlight w:val="none"/>
              </w:rPr>
            </w:pPr>
            <w:r>
              <w:rPr>
                <w:rFonts w:hint="default" w:ascii="Book Antiqua" w:hAnsi="Book Antiqua" w:cs="Book Antiqua"/>
                <w:color w:val="auto"/>
                <w:sz w:val="22"/>
                <w:szCs w:val="22"/>
                <w:highlight w:val="none"/>
                <w:lang w:val="en-US"/>
              </w:rPr>
              <w:t>We acknowledge the confusion and have revised the description for clarity to reflect that the ingredients were mixed in equal parts by weight, not that each made up 50% of the whole. “In Treatment A, the feed was formulated by mixing cassava root meal, cassava leaf meal, maize, and fresh soybean in equal proportions, whereas Treatment B comprised only cassava root meal and cassava leaf meal (both at 100%). After the eight-week experimental period, Treatment B (birds fed solely on cassava-based feed) exhibited a lower mortality rate (3 birds) compared to Treatment A (17 birds)”.</w:t>
            </w:r>
          </w:p>
        </w:tc>
      </w:tr>
      <w:tr w14:paraId="5466E4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4" w:type="dxa"/>
          </w:tcPr>
          <w:p w14:paraId="03DFDE89">
            <w:pPr>
              <w:keepNext w:val="0"/>
              <w:keepLines w:val="0"/>
              <w:widowControl/>
              <w:suppressLineNumbers w:val="0"/>
              <w:spacing w:before="0" w:beforeAutospacing="0" w:after="0" w:afterAutospacing="0" w:line="240" w:lineRule="auto"/>
              <w:ind w:left="0" w:right="0"/>
              <w:jc w:val="center"/>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1</w:t>
            </w:r>
          </w:p>
        </w:tc>
        <w:tc>
          <w:tcPr>
            <w:tcW w:w="2960" w:type="dxa"/>
          </w:tcPr>
          <w:p w14:paraId="1404DBB4">
            <w:pPr>
              <w:keepNext w:val="0"/>
              <w:keepLines w:val="0"/>
              <w:widowControl/>
              <w:suppressLineNumbers w:val="0"/>
              <w:spacing w:before="0" w:beforeAutospacing="0" w:afterAutospacing="0"/>
              <w:ind w:left="0" w:right="0"/>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rPr>
              <w:t xml:space="preserve">where one pen contained nine chicks, and the second pen contained ten chicks. </w:t>
            </w:r>
            <w:r>
              <w:rPr>
                <w:rFonts w:hint="default" w:ascii="Book Antiqua" w:hAnsi="Book Antiqua" w:cs="Book Antiqua"/>
                <w:color w:val="auto"/>
                <w:sz w:val="22"/>
                <w:szCs w:val="22"/>
                <w:highlight w:val="none"/>
                <w:lang w:val="en-GB"/>
              </w:rPr>
              <w:t xml:space="preserve">- </w:t>
            </w:r>
            <w:r>
              <w:rPr>
                <w:rFonts w:hint="default" w:ascii="Book Antiqua" w:hAnsi="Book Antiqua" w:cs="Book Antiqua"/>
                <w:color w:val="auto"/>
                <w:sz w:val="22"/>
                <w:szCs w:val="22"/>
                <w:highlight w:val="none"/>
              </w:rPr>
              <w:t>What is the reason for the difference between one group being classified as nine and another as ten?</w:t>
            </w:r>
          </w:p>
        </w:tc>
        <w:tc>
          <w:tcPr>
            <w:tcW w:w="5448" w:type="dxa"/>
          </w:tcPr>
          <w:p w14:paraId="1A6BAA5C">
            <w:pPr>
              <w:pStyle w:val="8"/>
              <w:keepNext w:val="0"/>
              <w:keepLines w:val="0"/>
              <w:widowControl/>
              <w:suppressLineNumbers w:val="0"/>
              <w:ind w:left="0" w:right="0"/>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This has been rephrased and missing lines and figures indicated accordingly. “</w:t>
            </w:r>
            <w:r>
              <w:rPr>
                <w:rFonts w:hint="default" w:ascii="Book Antiqua" w:hAnsi="Book Antiqua" w:cs="Book Antiqua"/>
                <w:color w:val="auto"/>
                <w:sz w:val="22"/>
                <w:szCs w:val="22"/>
                <w:highlight w:val="none"/>
              </w:rPr>
              <w:t xml:space="preserve">The house was divided into 2 Pens to accommodate a total of </w:t>
            </w:r>
            <w:r>
              <w:rPr>
                <w:rFonts w:hint="default" w:ascii="Book Antiqua" w:hAnsi="Book Antiqua" w:cs="Book Antiqua"/>
                <w:color w:val="auto"/>
                <w:sz w:val="22"/>
                <w:szCs w:val="22"/>
                <w:highlight w:val="none"/>
                <w:lang w:val="en-GB"/>
              </w:rPr>
              <w:t>51</w:t>
            </w:r>
            <w:r>
              <w:rPr>
                <w:rFonts w:hint="default" w:ascii="Book Antiqua" w:hAnsi="Book Antiqua" w:cs="Book Antiqua"/>
                <w:color w:val="auto"/>
                <w:sz w:val="22"/>
                <w:szCs w:val="22"/>
                <w:highlight w:val="none"/>
              </w:rPr>
              <w:t xml:space="preserve"> chicks used for the experiment, where one pen contained </w:t>
            </w:r>
            <w:r>
              <w:rPr>
                <w:rFonts w:hint="default" w:ascii="Book Antiqua" w:hAnsi="Book Antiqua" w:cs="Book Antiqua"/>
                <w:color w:val="auto"/>
                <w:sz w:val="22"/>
                <w:szCs w:val="22"/>
                <w:highlight w:val="none"/>
                <w:lang w:val="en-GB"/>
              </w:rPr>
              <w:t>twenty five</w:t>
            </w:r>
            <w:r>
              <w:rPr>
                <w:rFonts w:hint="default" w:ascii="Book Antiqua" w:hAnsi="Book Antiqua" w:cs="Book Antiqua"/>
                <w:color w:val="auto"/>
                <w:sz w:val="22"/>
                <w:szCs w:val="22"/>
                <w:highlight w:val="none"/>
              </w:rPr>
              <w:t xml:space="preserve"> chicks, and the second pen contained t</w:t>
            </w:r>
            <w:r>
              <w:rPr>
                <w:rFonts w:hint="default" w:ascii="Book Antiqua" w:hAnsi="Book Antiqua" w:cs="Book Antiqua"/>
                <w:color w:val="auto"/>
                <w:sz w:val="22"/>
                <w:szCs w:val="22"/>
                <w:highlight w:val="none"/>
                <w:lang w:val="en-GB"/>
              </w:rPr>
              <w:t>wenty six</w:t>
            </w:r>
            <w:r>
              <w:rPr>
                <w:rFonts w:hint="default" w:ascii="Book Antiqua" w:hAnsi="Book Antiqua" w:cs="Book Antiqua"/>
                <w:color w:val="auto"/>
                <w:sz w:val="22"/>
                <w:szCs w:val="22"/>
                <w:highlight w:val="none"/>
              </w:rPr>
              <w:t xml:space="preserve"> chicks. </w:t>
            </w:r>
            <w:r>
              <w:rPr>
                <w:rFonts w:hint="default" w:ascii="Book Antiqua" w:hAnsi="Book Antiqua" w:cs="Book Antiqua"/>
                <w:color w:val="auto"/>
                <w:sz w:val="22"/>
                <w:szCs w:val="22"/>
                <w:highlight w:val="none"/>
                <w:lang w:val="en-GB"/>
              </w:rPr>
              <w:t>“</w:t>
            </w:r>
          </w:p>
        </w:tc>
      </w:tr>
      <w:tr w14:paraId="133200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4" w:type="dxa"/>
          </w:tcPr>
          <w:p w14:paraId="5BA81553">
            <w:pPr>
              <w:keepNext w:val="0"/>
              <w:keepLines w:val="0"/>
              <w:widowControl/>
              <w:suppressLineNumbers w:val="0"/>
              <w:spacing w:before="0" w:beforeAutospacing="0" w:after="0" w:afterAutospacing="0" w:line="240" w:lineRule="auto"/>
              <w:ind w:left="0" w:right="0"/>
              <w:jc w:val="center"/>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8</w:t>
            </w:r>
          </w:p>
        </w:tc>
        <w:tc>
          <w:tcPr>
            <w:tcW w:w="2960" w:type="dxa"/>
          </w:tcPr>
          <w:p w14:paraId="760CAFB4">
            <w:pPr>
              <w:keepNext w:val="0"/>
              <w:keepLines w:val="0"/>
              <w:widowControl/>
              <w:suppressLineNumbers w:val="0"/>
              <w:spacing w:before="0" w:beforeAutospacing="0" w:afterAutospacing="0"/>
              <w:ind w:left="0" w:right="0"/>
              <w:rPr>
                <w:rFonts w:hint="default" w:ascii="Book Antiqua" w:hAnsi="Book Antiqua" w:cs="Book Antiqua"/>
                <w:color w:val="auto"/>
                <w:sz w:val="22"/>
                <w:szCs w:val="22"/>
                <w:highlight w:val="none"/>
              </w:rPr>
            </w:pPr>
            <w:r>
              <w:rPr>
                <w:rFonts w:hint="default" w:ascii="Book Antiqua" w:hAnsi="Book Antiqua" w:cs="Book Antiqua"/>
                <w:color w:val="auto"/>
                <w:sz w:val="22"/>
                <w:szCs w:val="22"/>
                <w:highlight w:val="none"/>
              </w:rPr>
              <w:t>How do you calculate this presentation? The total is 200%, not 100%. Please clarify.</w:t>
            </w:r>
          </w:p>
          <w:p w14:paraId="0FEE62D0">
            <w:pPr>
              <w:keepNext w:val="0"/>
              <w:keepLines w:val="0"/>
              <w:widowControl/>
              <w:suppressLineNumbers w:val="0"/>
              <w:spacing w:before="0" w:beforeAutospacing="0" w:after="0" w:afterAutospacing="0" w:line="240" w:lineRule="auto"/>
              <w:ind w:left="0" w:right="0"/>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 “</w:t>
            </w:r>
            <w:r>
              <w:rPr>
                <w:rFonts w:hint="default" w:ascii="Book Antiqua" w:hAnsi="Book Antiqua" w:cs="Book Antiqua"/>
                <w:color w:val="auto"/>
                <w:sz w:val="22"/>
                <w:szCs w:val="22"/>
                <w:highlight w:val="none"/>
              </w:rPr>
              <w:t>fed 50% cassava tuber, 50% fresh soya bean, 50% maize meal, 50% leaf meal</w:t>
            </w:r>
            <w:r>
              <w:rPr>
                <w:rFonts w:hint="default" w:ascii="Book Antiqua" w:hAnsi="Book Antiqua" w:cs="Book Antiqua"/>
                <w:color w:val="auto"/>
                <w:sz w:val="22"/>
                <w:szCs w:val="22"/>
                <w:highlight w:val="none"/>
                <w:lang w:val="en-GB"/>
              </w:rPr>
              <w:t>”</w:t>
            </w:r>
          </w:p>
        </w:tc>
        <w:tc>
          <w:tcPr>
            <w:tcW w:w="5448" w:type="dxa"/>
          </w:tcPr>
          <w:p w14:paraId="01AADB25">
            <w:pPr>
              <w:pStyle w:val="8"/>
              <w:keepNext w:val="0"/>
              <w:keepLines w:val="0"/>
              <w:widowControl/>
              <w:suppressLineNumbers w:val="0"/>
              <w:ind w:left="0" w:right="0"/>
              <w:rPr>
                <w:rFonts w:hint="default" w:ascii="Book Antiqua" w:hAnsi="Book Antiqua" w:cs="Book Antiqua"/>
                <w:color w:val="auto"/>
                <w:sz w:val="22"/>
                <w:szCs w:val="22"/>
                <w:highlight w:val="none"/>
                <w:lang w:val="en-US"/>
              </w:rPr>
            </w:pPr>
            <w:r>
              <w:rPr>
                <w:rFonts w:hint="default" w:ascii="Book Antiqua" w:hAnsi="Book Antiqua" w:cs="Book Antiqua"/>
                <w:color w:val="auto"/>
                <w:sz w:val="22"/>
                <w:szCs w:val="22"/>
                <w:highlight w:val="none"/>
                <w:lang w:val="en-GB"/>
              </w:rPr>
              <w:t xml:space="preserve">Paragraph has been updated to further clarify as noted by the Reviewer. </w:t>
            </w:r>
            <w:r>
              <w:rPr>
                <w:rFonts w:hint="default" w:ascii="Book Antiqua" w:hAnsi="Book Antiqua" w:cs="Book Antiqua"/>
                <w:color w:val="auto"/>
                <w:sz w:val="22"/>
                <w:szCs w:val="22"/>
                <w:highlight w:val="none"/>
                <w:lang w:val="en-US"/>
              </w:rPr>
              <w:t xml:space="preserve">The use of '50%' for multiple ingredients in the description of Treatment A were not intended to be additive across ingredients. It was not intended to imply that the percentages should be summed to 200%. Rather, each ingredient (cassava root meal, cassava leaf meal, maize, and fresh soybean) contributed equally to the composition of the feed mixture used in Treatment A, based on their proportions relative to the total feed formulation. </w:t>
            </w:r>
          </w:p>
        </w:tc>
      </w:tr>
      <w:tr w14:paraId="4B1DCD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4" w:type="dxa"/>
          </w:tcPr>
          <w:p w14:paraId="7EC8FE4A">
            <w:pPr>
              <w:keepNext w:val="0"/>
              <w:keepLines w:val="0"/>
              <w:widowControl/>
              <w:suppressLineNumbers w:val="0"/>
              <w:spacing w:before="0" w:beforeAutospacing="0" w:after="0" w:afterAutospacing="0" w:line="240" w:lineRule="auto"/>
              <w:ind w:left="0" w:right="0"/>
              <w:jc w:val="center"/>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8</w:t>
            </w:r>
          </w:p>
        </w:tc>
        <w:tc>
          <w:tcPr>
            <w:tcW w:w="2960" w:type="dxa"/>
          </w:tcPr>
          <w:p w14:paraId="57A4054D">
            <w:pPr>
              <w:keepNext w:val="0"/>
              <w:keepLines w:val="0"/>
              <w:widowControl/>
              <w:suppressLineNumbers w:val="0"/>
              <w:spacing w:before="0" w:beforeAutospacing="0" w:after="0" w:afterAutospacing="0" w:line="240" w:lineRule="auto"/>
              <w:ind w:left="0" w:right="0"/>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TI ?</w:t>
            </w:r>
          </w:p>
        </w:tc>
        <w:tc>
          <w:tcPr>
            <w:tcW w:w="5448" w:type="dxa"/>
          </w:tcPr>
          <w:p w14:paraId="18A10CC7">
            <w:pPr>
              <w:pStyle w:val="8"/>
              <w:keepNext w:val="0"/>
              <w:keepLines w:val="0"/>
              <w:widowControl/>
              <w:suppressLineNumbers w:val="0"/>
              <w:ind w:left="0" w:right="0"/>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w:t>
            </w:r>
            <w:r>
              <w:rPr>
                <w:rFonts w:hint="default" w:ascii="Book Antiqua" w:hAnsi="Book Antiqua" w:cs="Book Antiqua"/>
                <w:color w:val="auto"/>
                <w:sz w:val="22"/>
                <w:szCs w:val="22"/>
                <w:highlight w:val="none"/>
              </w:rPr>
              <w:t>TI</w:t>
            </w:r>
            <w:r>
              <w:rPr>
                <w:rFonts w:hint="default" w:ascii="Book Antiqua" w:hAnsi="Book Antiqua" w:cs="Book Antiqua"/>
                <w:color w:val="auto"/>
                <w:sz w:val="22"/>
                <w:szCs w:val="22"/>
                <w:highlight w:val="none"/>
                <w:lang w:val="en-GB"/>
              </w:rPr>
              <w:t xml:space="preserve">) has been explained in the text as trypsin inhibitors </w:t>
            </w:r>
          </w:p>
        </w:tc>
      </w:tr>
      <w:tr w14:paraId="76C74A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4" w:type="dxa"/>
            <w:vAlign w:val="top"/>
          </w:tcPr>
          <w:p w14:paraId="3654E77A">
            <w:pPr>
              <w:keepNext w:val="0"/>
              <w:keepLines w:val="0"/>
              <w:widowControl/>
              <w:suppressLineNumbers w:val="0"/>
              <w:spacing w:before="0" w:beforeAutospacing="0" w:after="0" w:afterAutospacing="0" w:line="240" w:lineRule="auto"/>
              <w:ind w:left="0" w:right="0"/>
              <w:jc w:val="center"/>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11</w:t>
            </w:r>
          </w:p>
        </w:tc>
        <w:tc>
          <w:tcPr>
            <w:tcW w:w="2960" w:type="dxa"/>
            <w:vAlign w:val="top"/>
          </w:tcPr>
          <w:p w14:paraId="2195393E">
            <w:pPr>
              <w:keepNext w:val="0"/>
              <w:keepLines w:val="0"/>
              <w:widowControl/>
              <w:suppressLineNumbers w:val="0"/>
              <w:spacing w:before="0" w:beforeAutospacing="0" w:afterAutospacing="0"/>
              <w:ind w:left="0" w:right="0"/>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rPr>
              <w:t>What kind of negative effects or what content do cassava leaves have that have a negative impact on chick feed?</w:t>
            </w:r>
            <w:r>
              <w:rPr>
                <w:rFonts w:hint="default" w:ascii="Book Antiqua" w:hAnsi="Book Antiqua" w:cs="Book Antiqua"/>
                <w:color w:val="auto"/>
                <w:sz w:val="22"/>
                <w:szCs w:val="22"/>
                <w:highlight w:val="none"/>
                <w:lang w:val="en-GB"/>
              </w:rPr>
              <w:t xml:space="preserve"> (Page 10).</w:t>
            </w:r>
          </w:p>
        </w:tc>
        <w:tc>
          <w:tcPr>
            <w:tcW w:w="5448" w:type="dxa"/>
            <w:vAlign w:val="top"/>
          </w:tcPr>
          <w:p w14:paraId="59882502">
            <w:pPr>
              <w:keepNext w:val="0"/>
              <w:keepLines w:val="0"/>
              <w:widowControl/>
              <w:suppressLineNumbers w:val="0"/>
              <w:spacing w:before="0" w:beforeAutospacing="0" w:afterAutospacing="0" w:line="360" w:lineRule="auto"/>
              <w:ind w:left="0" w:right="0"/>
              <w:jc w:val="both"/>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This has been updated with ‘</w:t>
            </w:r>
            <w:r>
              <w:rPr>
                <w:rFonts w:hint="default" w:ascii="Book Antiqua" w:hAnsi="Book Antiqua" w:eastAsia="SimSun" w:cs="Book Antiqua"/>
                <w:color w:val="auto"/>
                <w:sz w:val="22"/>
                <w:szCs w:val="22"/>
                <w:highlight w:val="none"/>
              </w:rPr>
              <w:t>Cassava leaves are protein-rich but contain anti-nutritional factors like cyanogenic glycosides and high crude fiber</w:t>
            </w:r>
            <w:r>
              <w:rPr>
                <w:rFonts w:hint="default" w:ascii="Book Antiqua" w:hAnsi="Book Antiqua" w:eastAsia="SimSun" w:cs="Book Antiqua"/>
                <w:color w:val="auto"/>
                <w:sz w:val="22"/>
                <w:szCs w:val="22"/>
                <w:highlight w:val="none"/>
                <w:lang w:val="en-GB"/>
              </w:rPr>
              <w:t xml:space="preserve"> </w:t>
            </w:r>
            <w:r>
              <w:rPr>
                <w:rFonts w:hint="default" w:ascii="Book Antiqua" w:hAnsi="Book Antiqua" w:eastAsia="SimSun" w:cs="Book Antiqua"/>
                <w:color w:val="auto"/>
                <w:sz w:val="22"/>
                <w:szCs w:val="22"/>
                <w:highlight w:val="none"/>
              </w:rPr>
              <w:t xml:space="preserve">content reduces digestibility, </w:t>
            </w:r>
            <w:r>
              <w:rPr>
                <w:rFonts w:hint="default" w:ascii="Book Antiqua" w:hAnsi="Book Antiqua" w:eastAsia="SimSun" w:cs="Book Antiqua"/>
                <w:color w:val="auto"/>
                <w:sz w:val="22"/>
                <w:szCs w:val="22"/>
                <w:highlight w:val="none"/>
                <w:lang w:val="en-GB"/>
              </w:rPr>
              <w:t>in</w:t>
            </w:r>
            <w:r>
              <w:rPr>
                <w:rFonts w:hint="default" w:ascii="Book Antiqua" w:hAnsi="Book Antiqua" w:eastAsia="SimSun" w:cs="Book Antiqua"/>
                <w:color w:val="auto"/>
                <w:sz w:val="22"/>
                <w:szCs w:val="22"/>
                <w:highlight w:val="none"/>
              </w:rPr>
              <w:t xml:space="preserve"> chicks. </w:t>
            </w:r>
            <w:r>
              <w:rPr>
                <w:rFonts w:hint="default" w:ascii="Book Antiqua" w:hAnsi="Book Antiqua" w:eastAsia="SimSun" w:cs="Book Antiqua"/>
                <w:color w:val="auto"/>
                <w:sz w:val="22"/>
                <w:szCs w:val="22"/>
                <w:highlight w:val="none"/>
                <w:lang w:val="en-GB"/>
              </w:rPr>
              <w:t>Hence, p</w:t>
            </w:r>
            <w:r>
              <w:rPr>
                <w:rFonts w:hint="default" w:ascii="Book Antiqua" w:hAnsi="Book Antiqua" w:eastAsia="SimSun" w:cs="Book Antiqua"/>
                <w:color w:val="auto"/>
                <w:sz w:val="22"/>
                <w:szCs w:val="22"/>
                <w:highlight w:val="none"/>
              </w:rPr>
              <w:t>roper processing is essential to reduce toxicity and improve digestibility (Ogbuewu &amp; Mbajiorgu, 2023)</w:t>
            </w:r>
            <w:r>
              <w:rPr>
                <w:rFonts w:hint="default" w:ascii="Book Antiqua" w:hAnsi="Book Antiqua" w:eastAsia="SimSun" w:cs="Book Antiqua"/>
                <w:color w:val="auto"/>
                <w:sz w:val="22"/>
                <w:szCs w:val="22"/>
                <w:highlight w:val="none"/>
                <w:lang w:val="en-GB"/>
              </w:rPr>
              <w:t>’</w:t>
            </w:r>
            <w:r>
              <w:rPr>
                <w:rFonts w:hint="default" w:ascii="Book Antiqua" w:hAnsi="Book Antiqua" w:eastAsia="SimSun" w:cs="Book Antiqua"/>
                <w:color w:val="auto"/>
                <w:sz w:val="22"/>
                <w:szCs w:val="22"/>
                <w:highlight w:val="none"/>
              </w:rPr>
              <w:t>.</w:t>
            </w:r>
          </w:p>
        </w:tc>
      </w:tr>
      <w:tr w14:paraId="138620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4" w:type="dxa"/>
            <w:vAlign w:val="top"/>
          </w:tcPr>
          <w:p w14:paraId="01E40CB7">
            <w:pPr>
              <w:keepNext w:val="0"/>
              <w:keepLines w:val="0"/>
              <w:widowControl/>
              <w:suppressLineNumbers w:val="0"/>
              <w:spacing w:before="0" w:beforeAutospacing="0" w:after="0" w:afterAutospacing="0" w:line="240" w:lineRule="auto"/>
              <w:ind w:left="0" w:right="0"/>
              <w:jc w:val="center"/>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11</w:t>
            </w:r>
          </w:p>
        </w:tc>
        <w:tc>
          <w:tcPr>
            <w:tcW w:w="2960" w:type="dxa"/>
            <w:vAlign w:val="top"/>
          </w:tcPr>
          <w:p w14:paraId="468EABE2">
            <w:pPr>
              <w:keepNext w:val="0"/>
              <w:keepLines w:val="0"/>
              <w:widowControl/>
              <w:suppressLineNumbers w:val="0"/>
              <w:spacing w:before="0" w:beforeAutospacing="0" w:afterAutospacing="0"/>
              <w:ind w:left="0" w:right="0"/>
              <w:rPr>
                <w:rFonts w:hint="default" w:ascii="Book Antiqua" w:hAnsi="Book Antiqua" w:cs="Book Antiqua"/>
                <w:color w:val="auto"/>
                <w:sz w:val="22"/>
                <w:szCs w:val="22"/>
                <w:highlight w:val="none"/>
              </w:rPr>
            </w:pPr>
            <w:r>
              <w:rPr>
                <w:rFonts w:hint="default" w:ascii="Book Antiqua" w:hAnsi="Book Antiqua" w:cs="Book Antiqua"/>
                <w:color w:val="auto"/>
                <w:sz w:val="22"/>
                <w:szCs w:val="22"/>
                <w:highlight w:val="none"/>
              </w:rPr>
              <w:t>“Isn’t this the opposite? Please double-check it.”</w:t>
            </w:r>
          </w:p>
        </w:tc>
        <w:tc>
          <w:tcPr>
            <w:tcW w:w="5448" w:type="dxa"/>
            <w:vAlign w:val="top"/>
          </w:tcPr>
          <w:p w14:paraId="0288CA2B">
            <w:pPr>
              <w:keepNext w:val="0"/>
              <w:keepLines w:val="0"/>
              <w:widowControl/>
              <w:suppressLineNumbers w:val="0"/>
              <w:spacing w:before="100" w:beforeAutospacing="1" w:after="100" w:afterAutospacing="1" w:line="240" w:lineRule="auto"/>
              <w:ind w:left="0" w:right="0"/>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Treatment letters have corrected accordingly</w:t>
            </w:r>
          </w:p>
        </w:tc>
      </w:tr>
      <w:tr w14:paraId="49964B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4" w:type="dxa"/>
          </w:tcPr>
          <w:p w14:paraId="722DCC45">
            <w:pPr>
              <w:keepNext w:val="0"/>
              <w:keepLines w:val="0"/>
              <w:widowControl/>
              <w:suppressLineNumbers w:val="0"/>
              <w:spacing w:before="0" w:beforeAutospacing="0" w:after="0" w:afterAutospacing="0" w:line="240" w:lineRule="auto"/>
              <w:ind w:left="0" w:right="0"/>
              <w:jc w:val="center"/>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7</w:t>
            </w:r>
          </w:p>
        </w:tc>
        <w:tc>
          <w:tcPr>
            <w:tcW w:w="2960" w:type="dxa"/>
          </w:tcPr>
          <w:p w14:paraId="49687FE2">
            <w:pPr>
              <w:keepNext w:val="0"/>
              <w:keepLines w:val="0"/>
              <w:widowControl/>
              <w:suppressLineNumbers w:val="0"/>
              <w:spacing w:before="0" w:beforeAutospacing="0" w:after="0" w:afterAutospacing="0" w:line="240" w:lineRule="auto"/>
              <w:ind w:left="0" w:right="0"/>
              <w:rPr>
                <w:rFonts w:hint="default" w:ascii="Book Antiqua" w:hAnsi="Book Antiqua" w:cs="Book Antiqua"/>
                <w:color w:val="auto"/>
                <w:sz w:val="22"/>
                <w:szCs w:val="22"/>
                <w:highlight w:val="none"/>
              </w:rPr>
            </w:pPr>
            <w:r>
              <w:rPr>
                <w:rFonts w:hint="default" w:ascii="Book Antiqua" w:hAnsi="Book Antiqua" w:cs="Book Antiqua"/>
                <w:color w:val="auto"/>
                <w:sz w:val="22"/>
                <w:szCs w:val="22"/>
                <w:highlight w:val="none"/>
              </w:rPr>
              <w:t>How can you “properly detoxify”</w:t>
            </w:r>
          </w:p>
        </w:tc>
        <w:tc>
          <w:tcPr>
            <w:tcW w:w="5448" w:type="dxa"/>
          </w:tcPr>
          <w:p w14:paraId="7B29BC09">
            <w:pPr>
              <w:keepNext w:val="0"/>
              <w:keepLines w:val="0"/>
              <w:widowControl/>
              <w:suppressLineNumbers w:val="0"/>
              <w:spacing w:before="100" w:beforeAutospacing="1" w:after="100" w:afterAutospacing="1" w:line="240" w:lineRule="auto"/>
              <w:ind w:left="0" w:right="0"/>
              <w:rPr>
                <w:rFonts w:hint="default" w:ascii="Book Antiqua" w:hAnsi="Book Antiqua" w:eastAsia="Times New Roman" w:cs="Book Antiqua"/>
                <w:color w:val="auto"/>
                <w:sz w:val="22"/>
                <w:szCs w:val="22"/>
                <w:highlight w:val="none"/>
                <w:lang w:eastAsia="en-GB"/>
              </w:rPr>
            </w:pPr>
            <w:r>
              <w:rPr>
                <w:rFonts w:hint="default" w:ascii="Book Antiqua" w:hAnsi="Book Antiqua" w:eastAsia="Times New Roman" w:cs="Book Antiqua"/>
                <w:bCs/>
                <w:color w:val="auto"/>
                <w:sz w:val="22"/>
                <w:szCs w:val="22"/>
                <w:highlight w:val="none"/>
                <w:lang w:eastAsia="en-GB"/>
              </w:rPr>
              <w:t xml:space="preserve">Sentence has been updated to read “Proper detoxification involves a chain of process including; peeling, soaking/fermentation, cooking, and drying. </w:t>
            </w:r>
          </w:p>
        </w:tc>
      </w:tr>
      <w:tr w14:paraId="19C210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4" w:type="dxa"/>
          </w:tcPr>
          <w:p w14:paraId="0FF0DFBD">
            <w:pPr>
              <w:keepNext w:val="0"/>
              <w:keepLines w:val="0"/>
              <w:widowControl/>
              <w:suppressLineNumbers w:val="0"/>
              <w:spacing w:before="0" w:beforeAutospacing="0" w:after="0" w:afterAutospacing="0" w:line="240" w:lineRule="auto"/>
              <w:ind w:left="0" w:right="0"/>
              <w:jc w:val="center"/>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10</w:t>
            </w:r>
          </w:p>
        </w:tc>
        <w:tc>
          <w:tcPr>
            <w:tcW w:w="2960" w:type="dxa"/>
          </w:tcPr>
          <w:p w14:paraId="4E632629">
            <w:pPr>
              <w:keepNext w:val="0"/>
              <w:keepLines w:val="0"/>
              <w:widowControl/>
              <w:suppressLineNumbers w:val="0"/>
              <w:spacing w:before="0" w:beforeAutospacing="0" w:after="0" w:afterAutospacing="0" w:line="240" w:lineRule="auto"/>
              <w:ind w:left="0" w:right="0"/>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rPr>
              <w:t>CSV</w:t>
            </w:r>
            <w:r>
              <w:rPr>
                <w:rFonts w:hint="default" w:ascii="Book Antiqua" w:hAnsi="Book Antiqua" w:cs="Book Antiqua"/>
                <w:color w:val="auto"/>
                <w:sz w:val="22"/>
                <w:szCs w:val="22"/>
                <w:highlight w:val="none"/>
                <w:lang w:val="en-GB"/>
              </w:rPr>
              <w:t xml:space="preserve">. ASH: ; </w:t>
            </w:r>
            <w:r>
              <w:rPr>
                <w:rFonts w:hint="default" w:ascii="Book Antiqua" w:hAnsi="Book Antiqua" w:cs="Book Antiqua"/>
                <w:color w:val="auto"/>
                <w:sz w:val="22"/>
                <w:szCs w:val="22"/>
                <w:highlight w:val="none"/>
              </w:rPr>
              <w:t>NFE</w:t>
            </w:r>
            <w:r>
              <w:rPr>
                <w:rFonts w:hint="default" w:ascii="Book Antiqua" w:hAnsi="Book Antiqua" w:cs="Book Antiqua"/>
                <w:color w:val="auto"/>
                <w:sz w:val="22"/>
                <w:szCs w:val="22"/>
                <w:highlight w:val="none"/>
                <w:lang w:val="en-GB"/>
              </w:rPr>
              <w:t xml:space="preserve"> in Table 2</w:t>
            </w:r>
          </w:p>
        </w:tc>
        <w:tc>
          <w:tcPr>
            <w:tcW w:w="5448" w:type="dxa"/>
          </w:tcPr>
          <w:p w14:paraId="4F250755">
            <w:pPr>
              <w:keepNext w:val="0"/>
              <w:keepLines w:val="0"/>
              <w:widowControl/>
              <w:suppressLineNumbers w:val="0"/>
              <w:spacing w:before="100" w:beforeAutospacing="1" w:after="100" w:afterAutospacing="1" w:line="240" w:lineRule="auto"/>
              <w:ind w:left="0" w:right="0"/>
              <w:rPr>
                <w:rFonts w:hint="default" w:ascii="Book Antiqua" w:hAnsi="Book Antiqua" w:eastAsia="Times New Roman" w:cs="Book Antiqua"/>
                <w:bCs/>
                <w:color w:val="auto"/>
                <w:sz w:val="22"/>
                <w:szCs w:val="22"/>
                <w:highlight w:val="none"/>
                <w:lang w:val="en-US" w:eastAsia="en-GB"/>
              </w:rPr>
            </w:pPr>
            <w:r>
              <w:rPr>
                <w:rFonts w:hint="default" w:ascii="Book Antiqua" w:hAnsi="Book Antiqua" w:eastAsia="Times New Roman" w:cs="Book Antiqua"/>
                <w:bCs/>
                <w:color w:val="auto"/>
                <w:sz w:val="22"/>
                <w:szCs w:val="22"/>
                <w:highlight w:val="none"/>
                <w:lang w:val="en-US" w:eastAsia="en-GB"/>
              </w:rPr>
              <w:t>All highlighted abbreviations in have been described.</w:t>
            </w:r>
          </w:p>
        </w:tc>
      </w:tr>
      <w:tr w14:paraId="38C36D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4" w:type="dxa"/>
          </w:tcPr>
          <w:p w14:paraId="5E8480CB">
            <w:pPr>
              <w:keepNext w:val="0"/>
              <w:keepLines w:val="0"/>
              <w:widowControl/>
              <w:suppressLineNumbers w:val="0"/>
              <w:spacing w:before="0" w:beforeAutospacing="0" w:after="0" w:afterAutospacing="0" w:line="240" w:lineRule="auto"/>
              <w:ind w:left="0" w:right="0"/>
              <w:jc w:val="center"/>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12</w:t>
            </w:r>
          </w:p>
        </w:tc>
        <w:tc>
          <w:tcPr>
            <w:tcW w:w="2960" w:type="dxa"/>
          </w:tcPr>
          <w:p w14:paraId="2028425E">
            <w:pPr>
              <w:keepNext w:val="0"/>
              <w:keepLines w:val="0"/>
              <w:widowControl/>
              <w:suppressLineNumbers w:val="0"/>
              <w:spacing w:before="0" w:beforeAutospacing="0" w:afterAutospacing="0"/>
              <w:ind w:left="0" w:right="0"/>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rPr>
              <w:t>Your conclusion is too lengthy. It is more appropriate for an introduction.</w:t>
            </w:r>
            <w:r>
              <w:rPr>
                <w:rFonts w:hint="default" w:ascii="Book Antiqua" w:hAnsi="Book Antiqua" w:cs="Book Antiqua"/>
                <w:color w:val="auto"/>
                <w:sz w:val="22"/>
                <w:szCs w:val="22"/>
                <w:highlight w:val="none"/>
                <w:lang w:val="en-GB"/>
              </w:rPr>
              <w:t xml:space="preserve"> Pg. 12</w:t>
            </w:r>
          </w:p>
        </w:tc>
        <w:tc>
          <w:tcPr>
            <w:tcW w:w="5448" w:type="dxa"/>
          </w:tcPr>
          <w:p w14:paraId="1A3639EA">
            <w:pPr>
              <w:keepNext w:val="0"/>
              <w:keepLines w:val="0"/>
              <w:widowControl/>
              <w:suppressLineNumbers w:val="0"/>
              <w:spacing w:before="100" w:beforeAutospacing="1" w:after="100" w:afterAutospacing="1" w:line="240" w:lineRule="auto"/>
              <w:ind w:left="0" w:right="0"/>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Conclusion has be reduced accordingly as suggested.</w:t>
            </w:r>
          </w:p>
        </w:tc>
      </w:tr>
      <w:tr w14:paraId="7EC94C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4" w:type="dxa"/>
          </w:tcPr>
          <w:p w14:paraId="4A405182">
            <w:pPr>
              <w:keepNext w:val="0"/>
              <w:keepLines w:val="0"/>
              <w:widowControl/>
              <w:suppressLineNumbers w:val="0"/>
              <w:spacing w:before="0" w:beforeAutospacing="0" w:after="0" w:afterAutospacing="0" w:line="240" w:lineRule="auto"/>
              <w:ind w:left="0" w:right="0"/>
              <w:jc w:val="center"/>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12</w:t>
            </w:r>
          </w:p>
        </w:tc>
        <w:tc>
          <w:tcPr>
            <w:tcW w:w="2960" w:type="dxa"/>
          </w:tcPr>
          <w:p w14:paraId="6AEA82FB">
            <w:pPr>
              <w:keepNext w:val="0"/>
              <w:keepLines w:val="0"/>
              <w:widowControl/>
              <w:suppressLineNumbers w:val="0"/>
              <w:spacing w:before="0" w:beforeAutospacing="0" w:afterAutospacing="0"/>
              <w:ind w:left="0" w:right="0"/>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rPr>
              <w:t>Your conclusion is too lengthy and is more suited for a discussion. Instead, you should briefly mention the purpose or objective of your study, highlight the key findings, and draw implications. Provide recommendations, acknowledge any limitations, and suggest directions for future research. Finally, conclude with the impact of your work.</w:t>
            </w:r>
            <w:r>
              <w:rPr>
                <w:rFonts w:hint="default" w:ascii="Book Antiqua" w:hAnsi="Book Antiqua" w:cs="Book Antiqua"/>
                <w:color w:val="auto"/>
                <w:sz w:val="22"/>
                <w:szCs w:val="22"/>
                <w:highlight w:val="none"/>
                <w:lang w:val="en-GB"/>
              </w:rPr>
              <w:t xml:space="preserve"> Pg.12</w:t>
            </w:r>
          </w:p>
        </w:tc>
        <w:tc>
          <w:tcPr>
            <w:tcW w:w="5448" w:type="dxa"/>
          </w:tcPr>
          <w:p w14:paraId="5259D92F">
            <w:pPr>
              <w:keepNext w:val="0"/>
              <w:keepLines w:val="0"/>
              <w:widowControl/>
              <w:suppressLineNumbers w:val="0"/>
              <w:spacing w:before="100" w:beforeAutospacing="1" w:after="100" w:afterAutospacing="1" w:line="240" w:lineRule="auto"/>
              <w:ind w:left="0" w:right="0"/>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Conclusion has been reduced as suggested.</w:t>
            </w:r>
          </w:p>
        </w:tc>
      </w:tr>
      <w:tr w14:paraId="5FD86E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4" w:type="dxa"/>
          </w:tcPr>
          <w:p w14:paraId="67D4243D">
            <w:pPr>
              <w:keepNext w:val="0"/>
              <w:keepLines w:val="0"/>
              <w:widowControl/>
              <w:suppressLineNumbers w:val="0"/>
              <w:spacing w:before="0" w:beforeAutospacing="0" w:after="0" w:afterAutospacing="0" w:line="240" w:lineRule="auto"/>
              <w:ind w:left="0" w:right="0"/>
              <w:jc w:val="center"/>
              <w:rPr>
                <w:rFonts w:hint="default" w:ascii="Book Antiqua" w:hAnsi="Book Antiqua" w:cs="Book Antiqua"/>
                <w:color w:val="auto"/>
                <w:sz w:val="22"/>
                <w:szCs w:val="22"/>
                <w:highlight w:val="none"/>
                <w:lang w:val="en-GB"/>
              </w:rPr>
            </w:pPr>
          </w:p>
        </w:tc>
        <w:tc>
          <w:tcPr>
            <w:tcW w:w="2960" w:type="dxa"/>
          </w:tcPr>
          <w:p w14:paraId="15844AC4">
            <w:pPr>
              <w:keepNext w:val="0"/>
              <w:keepLines w:val="0"/>
              <w:widowControl/>
              <w:suppressLineNumbers w:val="0"/>
              <w:spacing w:before="0" w:beforeAutospacing="0" w:afterAutospacing="0"/>
              <w:ind w:left="0" w:right="0"/>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General comment and suggested corrections in comment boxes</w:t>
            </w:r>
          </w:p>
        </w:tc>
        <w:tc>
          <w:tcPr>
            <w:tcW w:w="5448" w:type="dxa"/>
          </w:tcPr>
          <w:p w14:paraId="4C200AE4">
            <w:pPr>
              <w:keepNext w:val="0"/>
              <w:keepLines w:val="0"/>
              <w:widowControl/>
              <w:suppressLineNumbers w:val="0"/>
              <w:spacing w:before="100" w:beforeAutospacing="1" w:after="100" w:afterAutospacing="1" w:line="240" w:lineRule="auto"/>
              <w:ind w:left="0" w:right="0"/>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All highlighted comments have treated and all uncommon abbreviations have been described.</w:t>
            </w:r>
          </w:p>
        </w:tc>
      </w:tr>
      <w:tr w14:paraId="003A94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4" w:type="dxa"/>
          </w:tcPr>
          <w:p w14:paraId="745FC121">
            <w:pPr>
              <w:keepNext w:val="0"/>
              <w:keepLines w:val="0"/>
              <w:widowControl/>
              <w:suppressLineNumbers w:val="0"/>
              <w:spacing w:before="0" w:beforeAutospacing="0" w:after="0" w:afterAutospacing="0" w:line="240" w:lineRule="auto"/>
              <w:ind w:left="0" w:right="0"/>
              <w:jc w:val="center"/>
              <w:rPr>
                <w:rFonts w:hint="default" w:ascii="Book Antiqua" w:hAnsi="Book Antiqua" w:cs="Book Antiqua"/>
                <w:color w:val="auto"/>
                <w:sz w:val="22"/>
                <w:szCs w:val="22"/>
                <w:highlight w:val="none"/>
                <w:lang w:val="en-GB"/>
              </w:rPr>
            </w:pPr>
          </w:p>
        </w:tc>
        <w:tc>
          <w:tcPr>
            <w:tcW w:w="2960" w:type="dxa"/>
          </w:tcPr>
          <w:p w14:paraId="5E79F764">
            <w:pPr>
              <w:keepNext w:val="0"/>
              <w:keepLines w:val="0"/>
              <w:widowControl/>
              <w:suppressLineNumbers w:val="0"/>
              <w:spacing w:before="0" w:beforeAutospacing="0" w:afterAutospacing="0"/>
              <w:ind w:left="0" w:right="0"/>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References</w:t>
            </w:r>
          </w:p>
        </w:tc>
        <w:tc>
          <w:tcPr>
            <w:tcW w:w="5448" w:type="dxa"/>
          </w:tcPr>
          <w:p w14:paraId="56607090">
            <w:pPr>
              <w:keepNext w:val="0"/>
              <w:keepLines w:val="0"/>
              <w:widowControl/>
              <w:suppressLineNumbers w:val="0"/>
              <w:spacing w:before="100" w:beforeAutospacing="1" w:after="100" w:afterAutospacing="1" w:line="240" w:lineRule="auto"/>
              <w:ind w:left="0" w:right="0"/>
              <w:rPr>
                <w:rFonts w:hint="default" w:ascii="Book Antiqua" w:hAnsi="Book Antiqua" w:cs="Book Antiqua"/>
                <w:color w:val="auto"/>
                <w:sz w:val="22"/>
                <w:szCs w:val="22"/>
                <w:highlight w:val="none"/>
                <w:lang w:val="en-GB"/>
              </w:rPr>
            </w:pPr>
            <w:r>
              <w:rPr>
                <w:rFonts w:hint="default" w:ascii="Book Antiqua" w:hAnsi="Book Antiqua" w:cs="Book Antiqua"/>
                <w:color w:val="auto"/>
                <w:sz w:val="22"/>
                <w:szCs w:val="22"/>
                <w:highlight w:val="none"/>
                <w:lang w:val="en-GB"/>
              </w:rPr>
              <w:t>DOI has been provided to all references as applicable</w:t>
            </w:r>
          </w:p>
        </w:tc>
      </w:tr>
    </w:tbl>
    <w:p w14:paraId="432087E9">
      <w:pPr>
        <w:jc w:val="center"/>
        <w:rPr>
          <w:rFonts w:hint="default" w:ascii="Book Antiqua" w:hAnsi="Book Antiqua" w:cs="Book Antiqua"/>
          <w:sz w:val="22"/>
          <w:szCs w:val="22"/>
          <w:highlight w:val="none"/>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5D"/>
    <w:rsid w:val="000477BA"/>
    <w:rsid w:val="0011087C"/>
    <w:rsid w:val="00131EF2"/>
    <w:rsid w:val="0033553D"/>
    <w:rsid w:val="003D6E0E"/>
    <w:rsid w:val="005E18AD"/>
    <w:rsid w:val="0062397B"/>
    <w:rsid w:val="0084115D"/>
    <w:rsid w:val="008D2FA7"/>
    <w:rsid w:val="008E6BD3"/>
    <w:rsid w:val="00900B6F"/>
    <w:rsid w:val="00932DC9"/>
    <w:rsid w:val="00A51426"/>
    <w:rsid w:val="00AB6EA5"/>
    <w:rsid w:val="00AE284B"/>
    <w:rsid w:val="00AE541C"/>
    <w:rsid w:val="00C842D5"/>
    <w:rsid w:val="00E657D1"/>
    <w:rsid w:val="00F1713E"/>
    <w:rsid w:val="00F775D3"/>
    <w:rsid w:val="0B3D323C"/>
    <w:rsid w:val="0EE93AF7"/>
    <w:rsid w:val="102D299C"/>
    <w:rsid w:val="18196009"/>
    <w:rsid w:val="196621ED"/>
    <w:rsid w:val="19D807F3"/>
    <w:rsid w:val="19E558AC"/>
    <w:rsid w:val="21C72867"/>
    <w:rsid w:val="22253891"/>
    <w:rsid w:val="24D76B19"/>
    <w:rsid w:val="28F74D45"/>
    <w:rsid w:val="2ABE1361"/>
    <w:rsid w:val="2E0F14FA"/>
    <w:rsid w:val="33824533"/>
    <w:rsid w:val="37A85E3F"/>
    <w:rsid w:val="42106192"/>
    <w:rsid w:val="47AD216D"/>
    <w:rsid w:val="47DB5A1F"/>
    <w:rsid w:val="4B0E0DE8"/>
    <w:rsid w:val="4CC65A17"/>
    <w:rsid w:val="50C46FFF"/>
    <w:rsid w:val="57FA27B5"/>
    <w:rsid w:val="5D6B1052"/>
    <w:rsid w:val="5EE46373"/>
    <w:rsid w:val="61AB6980"/>
    <w:rsid w:val="65DF3330"/>
    <w:rsid w:val="69B173D4"/>
    <w:rsid w:val="6D7C3C5D"/>
    <w:rsid w:val="6FAC69F6"/>
    <w:rsid w:val="71A57E17"/>
    <w:rsid w:val="720A423F"/>
    <w:rsid w:val="74622C7D"/>
    <w:rsid w:val="76B52833"/>
    <w:rsid w:val="78080136"/>
    <w:rsid w:val="7EB40C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3">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4">
    <w:name w:val="heading 6"/>
    <w:next w:val="1"/>
    <w:semiHidden/>
    <w:unhideWhenUsed/>
    <w:qFormat/>
    <w:uiPriority w:val="9"/>
    <w:pPr>
      <w:spacing w:before="0" w:beforeAutospacing="1" w:after="0" w:afterAutospacing="1"/>
      <w:jc w:val="left"/>
    </w:pPr>
    <w:rPr>
      <w:rFonts w:hint="eastAsia" w:ascii="SimSun" w:hAnsi="SimSun" w:eastAsia="SimSun" w:cs="SimSun"/>
      <w:b/>
      <w:bCs/>
      <w:kern w:val="0"/>
      <w:sz w:val="15"/>
      <w:szCs w:val="15"/>
      <w:lang w:val="en-US" w:eastAsia="zh-CN" w:bidi="ar"/>
    </w:rPr>
  </w:style>
  <w:style w:type="character" w:default="1" w:styleId="5">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200" w:afterAutospacing="0" w:line="276" w:lineRule="auto"/>
      <w:ind w:left="0" w:right="0"/>
    </w:pPr>
    <w:rPr>
      <w:rFonts w:hint="eastAsia" w:ascii="Calibri" w:hAnsi="Calibri" w:eastAsia="Times New Roman" w:cs="Times New Roman"/>
      <w:sz w:val="22"/>
      <w:szCs w:val="22"/>
    </w:rPr>
    <w:tblPr>
      <w:tblCellMar>
        <w:top w:w="0" w:type="dxa"/>
        <w:left w:w="108" w:type="dxa"/>
        <w:bottom w:w="0" w:type="dxa"/>
        <w:right w:w="108" w:type="dxa"/>
      </w:tblCellMar>
    </w:tblPr>
  </w:style>
  <w:style w:type="character" w:styleId="7">
    <w:name w:val="annotation reference"/>
    <w:basedOn w:val="5"/>
    <w:semiHidden/>
    <w:unhideWhenUsed/>
    <w:qFormat/>
    <w:uiPriority w:val="99"/>
    <w:rPr>
      <w:sz w:val="16"/>
      <w:szCs w:val="16"/>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9">
    <w:name w:val="Strong"/>
    <w:basedOn w:val="5"/>
    <w:qFormat/>
    <w:uiPriority w:val="22"/>
    <w:rPr>
      <w:b/>
      <w:bCs/>
    </w:rPr>
  </w:style>
  <w:style w:type="table" w:styleId="10">
    <w:name w:val="Table Grid"/>
    <w:basedOn w:val="6"/>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3</Pages>
  <Words>306</Words>
  <Characters>1749</Characters>
  <Lines>14</Lines>
  <Paragraphs>4</Paragraphs>
  <TotalTime>0</TotalTime>
  <ScaleCrop>false</ScaleCrop>
  <LinksUpToDate>false</LinksUpToDate>
  <CharactersWithSpaces>2051</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2025-04-21T14:02:00Z</dcterms:created>
  <dc:creator>User</dc:creator>
  <cp:lastModifiedBy>User</cp:lastModifiedBy>
  <dcterms:modified xsi:type="dcterms:W3CDTF">2025-05-06T19:47:02Z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2057-12.2.0.20795</vt:lpwstr>
  </property>
  <property fmtid="{D5CDD505-2E9C-101B-9397-08002B2CF9AE}" pid="3" name="ICV">
    <vt:lpwstr>656ADCE04C254079B5A71114C6AD1CBE_13</vt:lpwstr>
  </property>
</Properties>
</file>