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BFCF3"/>
  <w:body>
    <w:p w:rsidR="00FB7E8E" w:rsidRPr="00FB7E8E" w:rsidRDefault="00FB7E8E" w:rsidP="00FB7E8E">
      <w:pPr>
        <w:pStyle w:val="Heading3"/>
        <w:spacing w:before="0" w:after="0" w:line="240" w:lineRule="auto"/>
        <w:jc w:val="both"/>
        <w:rPr>
          <w:rFonts w:asciiTheme="majorHAnsi" w:eastAsia="Times New Roman Bold" w:hAnsiTheme="majorHAnsi" w:cstheme="majorHAnsi"/>
          <w:b/>
          <w:sz w:val="48"/>
          <w:szCs w:val="36"/>
        </w:rPr>
      </w:pPr>
      <w:bookmarkStart w:id="0" w:name="_Toc292564709"/>
      <w:bookmarkStart w:id="1" w:name="_Toc1"/>
      <w:r w:rsidRPr="00FB7E8E">
        <w:rPr>
          <w:rFonts w:asciiTheme="minorHAnsi" w:eastAsia="SimSun" w:hAnsiTheme="minorHAnsi" w:cstheme="minorHAnsi"/>
          <w:sz w:val="36"/>
          <w:szCs w:val="36"/>
          <w:lang w:eastAsia="zh-CN"/>
        </w:rPr>
        <w:t>Mining Environmental Restoration Regulatory Policy Based on Protected Indigenous Community</w:t>
      </w:r>
    </w:p>
    <w:p w:rsidR="00ED3A3F" w:rsidRPr="003A0113" w:rsidRDefault="00ED3A3F" w:rsidP="00E822E0">
      <w:pPr>
        <w:pStyle w:val="Heading3"/>
        <w:spacing w:before="0" w:after="0" w:line="240" w:lineRule="auto"/>
        <w:jc w:val="both"/>
        <w:rPr>
          <w:rStyle w:val="Heading1Char"/>
          <w:rFonts w:asciiTheme="majorHAnsi" w:hAnsiTheme="majorHAnsi" w:cstheme="majorHAnsi"/>
          <w:sz w:val="24"/>
        </w:rPr>
      </w:pPr>
    </w:p>
    <w:p w:rsidR="00ED3A3F" w:rsidRPr="00FB7E8E" w:rsidRDefault="00FB7E8E" w:rsidP="00E822E0">
      <w:pPr>
        <w:pStyle w:val="Heading3"/>
        <w:spacing w:before="0" w:after="0" w:line="240" w:lineRule="auto"/>
        <w:rPr>
          <w:rStyle w:val="Heading1Char"/>
          <w:rFonts w:asciiTheme="majorHAnsi" w:hAnsiTheme="majorHAnsi" w:cstheme="majorHAnsi"/>
          <w:b/>
          <w:sz w:val="24"/>
          <w:vertAlign w:val="superscript"/>
        </w:rPr>
      </w:pPr>
      <w:r w:rsidRPr="00FB7E8E">
        <w:rPr>
          <w:rStyle w:val="Heading1Char"/>
          <w:rFonts w:asciiTheme="majorHAnsi" w:hAnsiTheme="majorHAnsi" w:cstheme="majorHAnsi"/>
          <w:b/>
          <w:sz w:val="24"/>
        </w:rPr>
        <w:t xml:space="preserve">Mohammad </w:t>
      </w:r>
      <w:proofErr w:type="spellStart"/>
      <w:r w:rsidRPr="00FB7E8E">
        <w:rPr>
          <w:rStyle w:val="Heading1Char"/>
          <w:rFonts w:asciiTheme="majorHAnsi" w:hAnsiTheme="majorHAnsi" w:cstheme="majorHAnsi"/>
          <w:b/>
          <w:sz w:val="24"/>
        </w:rPr>
        <w:t>Jamin</w:t>
      </w:r>
      <w:proofErr w:type="spellEnd"/>
      <w:r w:rsidR="00385B3D" w:rsidRPr="003A0113">
        <w:rPr>
          <w:rStyle w:val="Heading1Char"/>
          <w:rFonts w:asciiTheme="majorHAnsi" w:hAnsiTheme="majorHAnsi" w:cstheme="majorHAnsi"/>
          <w:b/>
          <w:sz w:val="24"/>
          <w:vertAlign w:val="superscript"/>
          <w:lang w:val="id-ID"/>
        </w:rPr>
        <w:t>1</w:t>
      </w:r>
      <w:r w:rsidR="00385B3D" w:rsidRPr="003A0113">
        <w:rPr>
          <w:rStyle w:val="Heading1Char"/>
          <w:rFonts w:asciiTheme="majorHAnsi" w:hAnsiTheme="majorHAnsi" w:cstheme="majorHAnsi"/>
          <w:b/>
          <w:sz w:val="24"/>
        </w:rPr>
        <w:t>,</w:t>
      </w:r>
      <w:r w:rsidR="00385B3D" w:rsidRPr="003A0113">
        <w:rPr>
          <w:rStyle w:val="Heading1Char"/>
          <w:rFonts w:asciiTheme="majorHAnsi" w:hAnsiTheme="majorHAnsi" w:cstheme="majorHAnsi"/>
          <w:b/>
          <w:sz w:val="24"/>
          <w:lang w:val="sv-SE"/>
        </w:rPr>
        <w:t xml:space="preserve"> </w:t>
      </w:r>
      <w:r>
        <w:rPr>
          <w:rStyle w:val="Heading1Char"/>
          <w:rFonts w:asciiTheme="majorHAnsi" w:hAnsiTheme="majorHAnsi" w:cstheme="majorHAnsi"/>
          <w:b/>
          <w:sz w:val="24"/>
          <w:lang w:val="sv-SE"/>
        </w:rPr>
        <w:t>Abdul Kadir Jaelani</w:t>
      </w:r>
      <w:r>
        <w:rPr>
          <w:rStyle w:val="Heading1Char"/>
          <w:rFonts w:asciiTheme="majorHAnsi" w:hAnsiTheme="majorHAnsi" w:cstheme="majorHAnsi"/>
          <w:b/>
          <w:sz w:val="24"/>
          <w:vertAlign w:val="superscript"/>
        </w:rPr>
        <w:t>1</w:t>
      </w:r>
      <w:r w:rsidR="0042782F" w:rsidRPr="003A0113">
        <w:rPr>
          <w:rStyle w:val="Heading1Char"/>
          <w:rFonts w:asciiTheme="majorHAnsi" w:hAnsiTheme="majorHAnsi" w:cstheme="majorHAnsi"/>
          <w:b/>
          <w:sz w:val="24"/>
          <w:lang w:val="id-ID"/>
        </w:rPr>
        <w:t xml:space="preserve">, </w:t>
      </w:r>
      <w:r>
        <w:rPr>
          <w:rStyle w:val="Heading1Char"/>
          <w:rFonts w:asciiTheme="majorHAnsi" w:hAnsiTheme="majorHAnsi" w:cstheme="majorHAnsi"/>
          <w:b/>
          <w:sz w:val="24"/>
        </w:rPr>
        <w:t>Mulyanto</w:t>
      </w:r>
      <w:r>
        <w:rPr>
          <w:rStyle w:val="Heading1Char"/>
          <w:rFonts w:asciiTheme="majorHAnsi" w:hAnsiTheme="majorHAnsi" w:cstheme="majorHAnsi"/>
          <w:b/>
          <w:sz w:val="24"/>
          <w:vertAlign w:val="superscript"/>
        </w:rPr>
        <w:t xml:space="preserve">1 </w:t>
      </w:r>
      <w:r w:rsidRPr="00026D20">
        <w:rPr>
          <w:rFonts w:asciiTheme="minorHAnsi" w:eastAsia="SimSun" w:hAnsiTheme="minorHAnsi" w:cstheme="minorHAnsi"/>
          <w:lang w:eastAsia="zh-CN"/>
        </w:rPr>
        <w:t>Reza Octavia Kusumaningtyas</w:t>
      </w:r>
      <w:r>
        <w:rPr>
          <w:rStyle w:val="Heading1Char"/>
          <w:rFonts w:asciiTheme="majorHAnsi" w:hAnsiTheme="majorHAnsi" w:cstheme="majorHAnsi"/>
          <w:b/>
          <w:sz w:val="24"/>
          <w:vertAlign w:val="superscript"/>
        </w:rPr>
        <w:t xml:space="preserve">1 </w:t>
      </w:r>
      <w:r w:rsidRPr="00FB7E8E">
        <w:rPr>
          <w:rStyle w:val="Heading1Char"/>
          <w:rFonts w:asciiTheme="majorHAnsi" w:hAnsiTheme="majorHAnsi" w:cstheme="majorHAnsi"/>
          <w:b/>
          <w:sz w:val="24"/>
        </w:rPr>
        <w:t>Duc Quang Ly</w:t>
      </w:r>
      <w:r w:rsidRPr="00FB7E8E">
        <w:rPr>
          <w:rStyle w:val="Heading1Char"/>
          <w:rFonts w:asciiTheme="majorHAnsi" w:hAnsiTheme="majorHAnsi" w:cstheme="majorHAnsi"/>
          <w:b/>
          <w:sz w:val="24"/>
        </w:rPr>
        <w:t xml:space="preserve"> </w:t>
      </w:r>
      <w:r>
        <w:rPr>
          <w:rStyle w:val="Heading1Char"/>
          <w:rFonts w:asciiTheme="majorHAnsi" w:hAnsiTheme="majorHAnsi" w:cstheme="majorHAnsi"/>
          <w:b/>
          <w:sz w:val="24"/>
          <w:vertAlign w:val="superscript"/>
        </w:rPr>
        <w:t>2</w:t>
      </w:r>
    </w:p>
    <w:p w:rsidR="003A0113" w:rsidRPr="003A0113" w:rsidRDefault="003A0113" w:rsidP="00B310CC">
      <w:pPr>
        <w:spacing w:after="0" w:line="240" w:lineRule="auto"/>
        <w:rPr>
          <w:rStyle w:val="Hyperlink"/>
          <w:rFonts w:asciiTheme="majorHAnsi" w:hAnsiTheme="majorHAnsi" w:cstheme="majorHAnsi"/>
          <w:i/>
          <w:color w:val="auto"/>
          <w:sz w:val="20"/>
          <w:szCs w:val="20"/>
          <w:u w:val="none"/>
          <w:lang w:val="en-GB"/>
        </w:rPr>
      </w:pPr>
    </w:p>
    <w:p w:rsidR="003A0113" w:rsidRPr="003A0113" w:rsidRDefault="003A0113" w:rsidP="00B310CC">
      <w:pPr>
        <w:spacing w:after="0" w:line="240" w:lineRule="auto"/>
        <w:rPr>
          <w:rStyle w:val="Hyperlink"/>
          <w:rFonts w:asciiTheme="majorHAnsi" w:hAnsiTheme="majorHAnsi" w:cstheme="majorHAnsi"/>
          <w:i/>
          <w:color w:val="auto"/>
          <w:sz w:val="20"/>
          <w:szCs w:val="20"/>
          <w:u w:val="none"/>
          <w:lang w:val="en-GB"/>
        </w:rPr>
      </w:pPr>
      <w:r w:rsidRPr="003A0113">
        <w:rPr>
          <w:rStyle w:val="Hyperlink"/>
          <w:rFonts w:asciiTheme="majorHAnsi" w:hAnsiTheme="majorHAnsi" w:cstheme="majorHAnsi"/>
          <w:i/>
          <w:color w:val="auto"/>
          <w:sz w:val="20"/>
          <w:szCs w:val="20"/>
          <w:u w:val="none"/>
          <w:vertAlign w:val="superscript"/>
          <w:lang w:val="en-GB"/>
        </w:rPr>
        <w:t>1</w:t>
      </w:r>
      <w:r w:rsidRPr="003A0113">
        <w:rPr>
          <w:rStyle w:val="Hyperlink"/>
          <w:rFonts w:asciiTheme="majorHAnsi" w:hAnsiTheme="majorHAnsi" w:cstheme="majorHAnsi"/>
          <w:i/>
          <w:color w:val="auto"/>
          <w:sz w:val="20"/>
          <w:szCs w:val="20"/>
          <w:u w:val="none"/>
          <w:lang w:val="en-GB"/>
        </w:rPr>
        <w:t xml:space="preserve"> Faculty of Law, </w:t>
      </w:r>
      <w:r w:rsidR="00FB7E8E">
        <w:rPr>
          <w:rStyle w:val="Hyperlink"/>
          <w:rFonts w:asciiTheme="majorHAnsi" w:hAnsiTheme="majorHAnsi" w:cstheme="majorHAnsi"/>
          <w:i/>
          <w:color w:val="auto"/>
          <w:sz w:val="20"/>
          <w:szCs w:val="20"/>
          <w:u w:val="none"/>
          <w:lang w:val="en-GB"/>
        </w:rPr>
        <w:t xml:space="preserve">Universitas </w:t>
      </w:r>
      <w:proofErr w:type="spellStart"/>
      <w:r w:rsidR="00FB7E8E">
        <w:rPr>
          <w:rStyle w:val="Hyperlink"/>
          <w:rFonts w:asciiTheme="majorHAnsi" w:hAnsiTheme="majorHAnsi" w:cstheme="majorHAnsi"/>
          <w:i/>
          <w:color w:val="auto"/>
          <w:sz w:val="20"/>
          <w:szCs w:val="20"/>
          <w:u w:val="none"/>
          <w:lang w:val="en-GB"/>
        </w:rPr>
        <w:t>Sebelas</w:t>
      </w:r>
      <w:proofErr w:type="spellEnd"/>
      <w:r w:rsidR="00FB7E8E">
        <w:rPr>
          <w:rStyle w:val="Hyperlink"/>
          <w:rFonts w:asciiTheme="majorHAnsi" w:hAnsiTheme="majorHAnsi" w:cstheme="majorHAnsi"/>
          <w:i/>
          <w:color w:val="auto"/>
          <w:sz w:val="20"/>
          <w:szCs w:val="20"/>
          <w:u w:val="none"/>
          <w:lang w:val="en-GB"/>
        </w:rPr>
        <w:t xml:space="preserve"> </w:t>
      </w:r>
      <w:proofErr w:type="spellStart"/>
      <w:r w:rsidR="00FB7E8E">
        <w:rPr>
          <w:rStyle w:val="Hyperlink"/>
          <w:rFonts w:asciiTheme="majorHAnsi" w:hAnsiTheme="majorHAnsi" w:cstheme="majorHAnsi"/>
          <w:i/>
          <w:color w:val="auto"/>
          <w:sz w:val="20"/>
          <w:szCs w:val="20"/>
          <w:u w:val="none"/>
          <w:lang w:val="en-GB"/>
        </w:rPr>
        <w:t>Maret</w:t>
      </w:r>
      <w:proofErr w:type="spellEnd"/>
      <w:r w:rsidRPr="003A0113">
        <w:rPr>
          <w:rStyle w:val="Hyperlink"/>
          <w:rFonts w:asciiTheme="majorHAnsi" w:hAnsiTheme="majorHAnsi" w:cstheme="majorHAnsi"/>
          <w:i/>
          <w:color w:val="auto"/>
          <w:sz w:val="20"/>
          <w:szCs w:val="20"/>
          <w:u w:val="none"/>
          <w:lang w:val="en-GB"/>
        </w:rPr>
        <w:t>,</w:t>
      </w:r>
      <w:r w:rsidR="00FB7E8E">
        <w:rPr>
          <w:rStyle w:val="Hyperlink"/>
          <w:rFonts w:asciiTheme="majorHAnsi" w:hAnsiTheme="majorHAnsi" w:cstheme="majorHAnsi"/>
          <w:i/>
          <w:color w:val="auto"/>
          <w:sz w:val="20"/>
          <w:szCs w:val="20"/>
          <w:u w:val="none"/>
          <w:lang w:val="en-GB"/>
        </w:rPr>
        <w:t xml:space="preserve"> Surakarta</w:t>
      </w:r>
      <w:r w:rsidR="00FB57BE">
        <w:rPr>
          <w:rStyle w:val="Hyperlink"/>
          <w:rFonts w:asciiTheme="majorHAnsi" w:hAnsiTheme="majorHAnsi" w:cstheme="majorHAnsi"/>
          <w:i/>
          <w:color w:val="auto"/>
          <w:sz w:val="20"/>
          <w:szCs w:val="20"/>
          <w:u w:val="none"/>
          <w:lang w:val="en-GB"/>
        </w:rPr>
        <w:t>,</w:t>
      </w:r>
      <w:r w:rsidRPr="003A0113">
        <w:rPr>
          <w:rStyle w:val="Hyperlink"/>
          <w:rFonts w:asciiTheme="majorHAnsi" w:hAnsiTheme="majorHAnsi" w:cstheme="majorHAnsi"/>
          <w:i/>
          <w:color w:val="auto"/>
          <w:sz w:val="20"/>
          <w:szCs w:val="20"/>
          <w:u w:val="none"/>
          <w:lang w:val="en-GB"/>
        </w:rPr>
        <w:t xml:space="preserve"> Indonesia. E-mail: </w:t>
      </w:r>
      <w:hyperlink r:id="rId8" w:history="1">
        <w:r w:rsidR="00FB57BE" w:rsidRPr="00426955">
          <w:rPr>
            <w:rStyle w:val="Hyperlink"/>
            <w:rFonts w:asciiTheme="majorHAnsi" w:hAnsiTheme="majorHAnsi" w:cstheme="majorHAnsi"/>
            <w:i/>
            <w:sz w:val="20"/>
            <w:szCs w:val="20"/>
            <w:lang w:val="en-GB"/>
          </w:rPr>
          <w:t>mohjamin@staff.uns.ac.id</w:t>
        </w:r>
      </w:hyperlink>
      <w:r w:rsidR="00FB57BE">
        <w:rPr>
          <w:rStyle w:val="Hyperlink"/>
          <w:rFonts w:asciiTheme="majorHAnsi" w:hAnsiTheme="majorHAnsi" w:cstheme="majorHAnsi"/>
          <w:i/>
          <w:color w:val="auto"/>
          <w:sz w:val="20"/>
          <w:szCs w:val="20"/>
          <w:u w:val="none"/>
          <w:lang w:val="en-GB"/>
        </w:rPr>
        <w:t xml:space="preserve"> </w:t>
      </w:r>
    </w:p>
    <w:p w:rsidR="003A0113" w:rsidRDefault="003A0113" w:rsidP="00FB57BE">
      <w:pPr>
        <w:spacing w:after="0" w:line="240" w:lineRule="auto"/>
        <w:rPr>
          <w:rStyle w:val="Hyperlink"/>
          <w:rFonts w:asciiTheme="majorHAnsi" w:hAnsiTheme="majorHAnsi" w:cstheme="majorHAnsi"/>
          <w:i/>
          <w:color w:val="auto"/>
          <w:sz w:val="20"/>
          <w:szCs w:val="20"/>
          <w:u w:val="none"/>
          <w:lang w:val="en-GB"/>
        </w:rPr>
      </w:pPr>
      <w:r w:rsidRPr="003A0113">
        <w:rPr>
          <w:rStyle w:val="Hyperlink"/>
          <w:rFonts w:asciiTheme="majorHAnsi" w:hAnsiTheme="majorHAnsi" w:cstheme="majorHAnsi"/>
          <w:i/>
          <w:color w:val="auto"/>
          <w:sz w:val="20"/>
          <w:szCs w:val="20"/>
          <w:u w:val="none"/>
          <w:vertAlign w:val="superscript"/>
          <w:lang w:val="en-GB"/>
        </w:rPr>
        <w:t>2</w:t>
      </w:r>
      <w:r w:rsidRPr="003A0113">
        <w:rPr>
          <w:rStyle w:val="Hyperlink"/>
          <w:rFonts w:asciiTheme="majorHAnsi" w:hAnsiTheme="majorHAnsi" w:cstheme="majorHAnsi"/>
          <w:i/>
          <w:color w:val="auto"/>
          <w:sz w:val="20"/>
          <w:szCs w:val="20"/>
          <w:u w:val="none"/>
          <w:lang w:val="en-GB"/>
        </w:rPr>
        <w:t xml:space="preserve"> Faculty of Law, </w:t>
      </w:r>
      <w:proofErr w:type="spellStart"/>
      <w:r w:rsidR="00FB57BE" w:rsidRPr="00FB57BE">
        <w:rPr>
          <w:rStyle w:val="Hyperlink"/>
          <w:rFonts w:asciiTheme="majorHAnsi" w:hAnsiTheme="majorHAnsi" w:cstheme="majorHAnsi"/>
          <w:i/>
          <w:color w:val="auto"/>
          <w:sz w:val="20"/>
          <w:szCs w:val="20"/>
          <w:u w:val="none"/>
          <w:lang w:val="en-GB"/>
        </w:rPr>
        <w:t>Thamasat</w:t>
      </w:r>
      <w:proofErr w:type="spellEnd"/>
      <w:r w:rsidR="00FB57BE" w:rsidRPr="00FB57BE">
        <w:rPr>
          <w:rStyle w:val="Hyperlink"/>
          <w:rFonts w:asciiTheme="majorHAnsi" w:hAnsiTheme="majorHAnsi" w:cstheme="majorHAnsi"/>
          <w:i/>
          <w:color w:val="auto"/>
          <w:sz w:val="20"/>
          <w:szCs w:val="20"/>
          <w:u w:val="none"/>
          <w:lang w:val="en-GB"/>
        </w:rPr>
        <w:t xml:space="preserve"> University</w:t>
      </w:r>
      <w:r w:rsidR="00FB57BE">
        <w:rPr>
          <w:rStyle w:val="Hyperlink"/>
          <w:rFonts w:asciiTheme="majorHAnsi" w:hAnsiTheme="majorHAnsi" w:cstheme="majorHAnsi"/>
          <w:i/>
          <w:color w:val="auto"/>
          <w:sz w:val="20"/>
          <w:szCs w:val="20"/>
          <w:u w:val="none"/>
          <w:lang w:val="en-GB"/>
        </w:rPr>
        <w:t>, Bangkok, Thailand.</w:t>
      </w:r>
    </w:p>
    <w:p w:rsidR="003A0113" w:rsidRDefault="003A0113" w:rsidP="00B310CC">
      <w:pPr>
        <w:spacing w:after="0" w:line="240" w:lineRule="auto"/>
        <w:rPr>
          <w:rStyle w:val="Hyperlink"/>
          <w:rFonts w:asciiTheme="majorHAnsi" w:hAnsiTheme="majorHAnsi" w:cstheme="majorHAnsi"/>
          <w:i/>
          <w:color w:val="auto"/>
          <w:sz w:val="20"/>
          <w:szCs w:val="20"/>
          <w:u w:val="none"/>
          <w:lang w:val="en-GB"/>
        </w:rPr>
      </w:pPr>
    </w:p>
    <w:p w:rsidR="003A0113" w:rsidRDefault="003A0113" w:rsidP="00B310CC">
      <w:pPr>
        <w:pBdr>
          <w:bottom w:val="single" w:sz="4" w:space="1" w:color="auto"/>
        </w:pBdr>
        <w:spacing w:after="0" w:line="240" w:lineRule="auto"/>
        <w:rPr>
          <w:rStyle w:val="Hyperlink"/>
          <w:rFonts w:asciiTheme="majorHAnsi" w:hAnsiTheme="majorHAnsi" w:cstheme="majorHAnsi"/>
          <w:i/>
          <w:color w:val="auto"/>
          <w:sz w:val="20"/>
          <w:szCs w:val="20"/>
          <w:u w:val="none"/>
          <w:lang w:val="en-GB"/>
        </w:rPr>
      </w:pPr>
    </w:p>
    <w:p w:rsidR="00B310CC" w:rsidRDefault="00B310CC" w:rsidP="00B310CC">
      <w:pPr>
        <w:spacing w:after="0" w:line="240" w:lineRule="auto"/>
        <w:rPr>
          <w:rStyle w:val="Hyperlink"/>
          <w:rFonts w:asciiTheme="majorHAnsi" w:hAnsiTheme="majorHAnsi" w:cstheme="majorHAnsi"/>
          <w:i/>
          <w:color w:val="auto"/>
          <w:sz w:val="20"/>
          <w:szCs w:val="20"/>
          <w:u w:val="none"/>
          <w:lang w:val="en-GB"/>
        </w:rPr>
      </w:pPr>
    </w:p>
    <w:p w:rsidR="00FB57BE" w:rsidRDefault="00B310CC" w:rsidP="00B310CC">
      <w:pPr>
        <w:spacing w:after="0" w:line="240" w:lineRule="auto"/>
        <w:jc w:val="both"/>
        <w:rPr>
          <w:rStyle w:val="Hyperlink"/>
          <w:rFonts w:asciiTheme="majorHAnsi" w:hAnsiTheme="majorHAnsi" w:cstheme="majorHAnsi"/>
          <w:color w:val="auto"/>
          <w:sz w:val="20"/>
          <w:szCs w:val="20"/>
          <w:u w:val="none"/>
          <w:lang w:val="en-GB"/>
        </w:rPr>
      </w:pPr>
      <w:r w:rsidRPr="00B310CC">
        <w:rPr>
          <w:rStyle w:val="Hyperlink"/>
          <w:rFonts w:asciiTheme="majorHAnsi" w:hAnsiTheme="majorHAnsi" w:cstheme="majorHAnsi"/>
          <w:b/>
          <w:color w:val="auto"/>
          <w:sz w:val="20"/>
          <w:szCs w:val="20"/>
          <w:u w:val="none"/>
          <w:lang w:val="en-GB"/>
        </w:rPr>
        <w:t>Abstract:</w:t>
      </w:r>
      <w:r w:rsidRPr="00B310CC">
        <w:t xml:space="preserve"> </w:t>
      </w:r>
      <w:r w:rsidR="00FB57BE" w:rsidRPr="00026D20">
        <w:rPr>
          <w:rFonts w:asciiTheme="minorHAnsi" w:hAnsiTheme="minorHAnsi" w:cstheme="minorHAnsi"/>
          <w:sz w:val="24"/>
          <w:szCs w:val="24"/>
        </w:rPr>
        <w:t xml:space="preserve">The government has established numerous reclamation and post-mining policies. The critical question, however, is whether these policies can ensure the rehabilitation of the mining environment in accordance with sustainable development objectives, given the large number of </w:t>
      </w:r>
      <w:proofErr w:type="spellStart"/>
      <w:r w:rsidR="00FB57BE" w:rsidRPr="00026D20">
        <w:rPr>
          <w:rFonts w:asciiTheme="minorHAnsi" w:hAnsiTheme="minorHAnsi" w:cstheme="minorHAnsi"/>
          <w:sz w:val="24"/>
          <w:szCs w:val="24"/>
        </w:rPr>
        <w:t>unreclaimed</w:t>
      </w:r>
      <w:proofErr w:type="spellEnd"/>
      <w:r w:rsidR="00FB57BE" w:rsidRPr="00026D20">
        <w:rPr>
          <w:rFonts w:asciiTheme="minorHAnsi" w:hAnsiTheme="minorHAnsi" w:cstheme="minorHAnsi"/>
          <w:sz w:val="24"/>
          <w:szCs w:val="24"/>
        </w:rPr>
        <w:t xml:space="preserve"> and abandoned mine pits that have resulted in multiple deaths. This study aims to examine standards for reclamation and post-mining management to mitigate the environmental damage caused by mining. This is a normative legal research endeavor. The literature review collected information from the document analysis, which was analyzed qualitatively. The analysis of the data is descriptive-analytic. Government Regulation Number 78 of 2010 concerning Reclamation and Post-mining regulated the implementation of Reclamation and Post-mining for mining companies in an effort to reduce pollution limiting environmental damage. Environmental law enforcement in the mining industry continues to face significant obstacles, according to the study's findings. There is a need to improve mining management legislation and systems. Standardization of reclamation and post-mining management is required to provide implementation guidelines that meet the needs of the community. It has no negative impact on the community surrounding the mine. Licensing is one policy that can be used to implement standardization, which means keeping an eye on how the land is managed after mining, how waste is handled, and how policies are made to encourage mining and conservation activities that are good for the environment.</w:t>
      </w:r>
    </w:p>
    <w:p w:rsidR="00B310CC" w:rsidRDefault="00B310CC" w:rsidP="00B310CC">
      <w:pPr>
        <w:spacing w:after="0" w:line="240" w:lineRule="auto"/>
        <w:jc w:val="both"/>
        <w:rPr>
          <w:rStyle w:val="Hyperlink"/>
          <w:rFonts w:asciiTheme="majorHAnsi" w:hAnsiTheme="majorHAnsi" w:cstheme="majorHAnsi"/>
          <w:color w:val="auto"/>
          <w:sz w:val="20"/>
          <w:szCs w:val="20"/>
          <w:u w:val="none"/>
          <w:lang w:val="en-GB"/>
        </w:rPr>
      </w:pPr>
    </w:p>
    <w:p w:rsidR="00B310CC" w:rsidRDefault="00B310CC" w:rsidP="00B310CC">
      <w:pPr>
        <w:spacing w:after="0" w:line="240" w:lineRule="auto"/>
        <w:jc w:val="both"/>
        <w:rPr>
          <w:rStyle w:val="Hyperlink"/>
          <w:rFonts w:asciiTheme="majorHAnsi" w:hAnsiTheme="majorHAnsi" w:cstheme="majorHAnsi"/>
          <w:color w:val="auto"/>
          <w:sz w:val="20"/>
          <w:szCs w:val="20"/>
          <w:u w:val="none"/>
          <w:lang w:val="en-GB"/>
        </w:rPr>
      </w:pPr>
      <w:r w:rsidRPr="00B310CC">
        <w:rPr>
          <w:rStyle w:val="Hyperlink"/>
          <w:rFonts w:asciiTheme="majorHAnsi" w:hAnsiTheme="majorHAnsi" w:cstheme="majorHAnsi"/>
          <w:b/>
          <w:color w:val="auto"/>
          <w:sz w:val="20"/>
          <w:szCs w:val="20"/>
          <w:u w:val="none"/>
          <w:lang w:val="en-GB"/>
        </w:rPr>
        <w:t>Keywords:</w:t>
      </w:r>
      <w:r>
        <w:rPr>
          <w:rStyle w:val="Hyperlink"/>
          <w:rFonts w:asciiTheme="majorHAnsi" w:hAnsiTheme="majorHAnsi" w:cstheme="majorHAnsi"/>
          <w:color w:val="auto"/>
          <w:sz w:val="20"/>
          <w:szCs w:val="20"/>
          <w:u w:val="none"/>
          <w:lang w:val="en-GB"/>
        </w:rPr>
        <w:t xml:space="preserve"> </w:t>
      </w:r>
      <w:r w:rsidR="00FB57BE" w:rsidRPr="00026D20">
        <w:rPr>
          <w:rFonts w:asciiTheme="minorHAnsi" w:eastAsia="SimSun" w:hAnsiTheme="minorHAnsi" w:cstheme="minorHAnsi"/>
          <w:sz w:val="24"/>
          <w:szCs w:val="24"/>
        </w:rPr>
        <w:t>Environmental; Mining; Regulatory Policy; Indonesia</w:t>
      </w:r>
      <w:r w:rsidR="00FB57BE">
        <w:rPr>
          <w:rFonts w:asciiTheme="minorHAnsi" w:eastAsia="SimSun" w:hAnsiTheme="minorHAnsi" w:cstheme="minorHAnsi"/>
          <w:sz w:val="24"/>
          <w:szCs w:val="24"/>
        </w:rPr>
        <w:t>.</w:t>
      </w:r>
    </w:p>
    <w:p w:rsidR="00B310CC" w:rsidRPr="00B310CC" w:rsidRDefault="00B310CC" w:rsidP="00B310CC">
      <w:pPr>
        <w:pBdr>
          <w:bottom w:val="single" w:sz="4" w:space="1" w:color="auto"/>
        </w:pBdr>
        <w:spacing w:after="0" w:line="240" w:lineRule="auto"/>
        <w:jc w:val="both"/>
        <w:rPr>
          <w:rStyle w:val="Hyperlink"/>
          <w:rFonts w:asciiTheme="majorHAnsi" w:hAnsiTheme="majorHAnsi" w:cstheme="majorHAnsi"/>
          <w:color w:val="auto"/>
          <w:sz w:val="20"/>
          <w:szCs w:val="20"/>
          <w:u w:val="none"/>
          <w:lang w:val="en-GB"/>
        </w:rPr>
      </w:pPr>
    </w:p>
    <w:p w:rsidR="00B310CC" w:rsidRDefault="00B310CC" w:rsidP="00B310CC">
      <w:pPr>
        <w:spacing w:after="0" w:line="240" w:lineRule="auto"/>
        <w:rPr>
          <w:rStyle w:val="Hyperlink"/>
          <w:rFonts w:asciiTheme="majorHAnsi" w:hAnsiTheme="majorHAnsi" w:cstheme="majorHAnsi"/>
          <w:i/>
          <w:color w:val="auto"/>
          <w:sz w:val="20"/>
          <w:szCs w:val="20"/>
          <w:u w:val="none"/>
          <w:lang w:val="en-GB"/>
        </w:rPr>
      </w:pPr>
    </w:p>
    <w:p w:rsidR="00717018" w:rsidRPr="00223602" w:rsidRDefault="00717018" w:rsidP="00223602">
      <w:pPr>
        <w:spacing w:after="0" w:line="240" w:lineRule="auto"/>
        <w:rPr>
          <w:rStyle w:val="Hyperlink"/>
          <w:rFonts w:asciiTheme="majorHAnsi" w:hAnsiTheme="majorHAnsi" w:cstheme="majorHAnsi"/>
          <w:i/>
          <w:color w:val="auto"/>
          <w:sz w:val="24"/>
          <w:szCs w:val="24"/>
          <w:u w:val="none"/>
          <w:lang w:val="en-GB"/>
        </w:rPr>
      </w:pPr>
    </w:p>
    <w:p w:rsidR="00ED3A3F" w:rsidRPr="00223602" w:rsidRDefault="0042782F" w:rsidP="00223602">
      <w:pPr>
        <w:pStyle w:val="Heading1"/>
        <w:numPr>
          <w:ilvl w:val="0"/>
          <w:numId w:val="17"/>
        </w:numPr>
        <w:spacing w:before="0" w:after="0" w:line="240" w:lineRule="auto"/>
        <w:ind w:left="426" w:hanging="426"/>
        <w:jc w:val="both"/>
        <w:rPr>
          <w:rFonts w:asciiTheme="majorHAnsi" w:hAnsiTheme="majorHAnsi" w:cstheme="majorHAnsi"/>
          <w:b/>
          <w:color w:val="C00000"/>
          <w:szCs w:val="24"/>
          <w:lang w:val="en-GB"/>
        </w:rPr>
      </w:pPr>
      <w:r w:rsidRPr="00223602">
        <w:rPr>
          <w:rFonts w:asciiTheme="majorHAnsi" w:eastAsia="Arial Unicode MS" w:hAnsiTheme="majorHAnsi" w:cstheme="majorHAnsi"/>
          <w:b/>
          <w:color w:val="C00000"/>
          <w:szCs w:val="24"/>
          <w:lang w:val="en-GB"/>
        </w:rPr>
        <w:t>Introduction</w:t>
      </w:r>
      <w:bookmarkEnd w:id="0"/>
      <w:r w:rsidRPr="00223602">
        <w:rPr>
          <w:rFonts w:asciiTheme="majorHAnsi" w:eastAsia="Arial Unicode MS" w:hAnsiTheme="majorHAnsi" w:cstheme="majorHAnsi"/>
          <w:b/>
          <w:color w:val="C00000"/>
          <w:szCs w:val="24"/>
          <w:lang w:val="en-GB"/>
        </w:rPr>
        <w:t xml:space="preserve"> </w:t>
      </w:r>
      <w:bookmarkEnd w:id="1"/>
    </w:p>
    <w:p w:rsidR="00FB57BE" w:rsidRDefault="00FB57BE" w:rsidP="00FB57BE">
      <w:pPr>
        <w:pStyle w:val="ListParagraph"/>
        <w:spacing w:after="0" w:line="240" w:lineRule="auto"/>
        <w:ind w:left="0"/>
        <w:contextualSpacing w:val="0"/>
        <w:jc w:val="both"/>
        <w:rPr>
          <w:rFonts w:asciiTheme="minorHAnsi" w:hAnsiTheme="minorHAnsi" w:cstheme="minorHAnsi"/>
          <w:sz w:val="24"/>
          <w:szCs w:val="24"/>
        </w:rPr>
      </w:pPr>
      <w:bookmarkStart w:id="2" w:name="_Toc2"/>
      <w:r w:rsidRPr="00026D20">
        <w:rPr>
          <w:rFonts w:asciiTheme="minorHAnsi" w:hAnsiTheme="minorHAnsi" w:cstheme="minorHAnsi"/>
          <w:sz w:val="24"/>
          <w:szCs w:val="24"/>
        </w:rPr>
        <w:t xml:space="preserve">Indonesia is blessed with an abundance of natural resources. The mining industry is a vital and potentially life-saving asset for Indonesia's economy. According to data produced by the Directorate for Statistical Analysis and Development, coal would dominate the export of mining goods in 2020, with a value of $14.53 billion. This </w:t>
      </w:r>
      <w:r w:rsidRPr="00026D20">
        <w:rPr>
          <w:rFonts w:asciiTheme="minorHAnsi" w:hAnsiTheme="minorHAnsi" w:cstheme="minorHAnsi"/>
          <w:sz w:val="24"/>
          <w:szCs w:val="24"/>
        </w:rPr>
        <w:lastRenderedPageBreak/>
        <w:t xml:space="preserve">represents 73.66 percent of total mining exports (excluding oil and gas) </w:t>
      </w:r>
      <w:r w:rsidR="005F7846">
        <w:rPr>
          <w:rStyle w:val="FootnoteReference"/>
          <w:rFonts w:asciiTheme="minorHAnsi" w:hAnsiTheme="minorHAnsi" w:cstheme="minorHAnsi"/>
          <w:sz w:val="24"/>
          <w:szCs w:val="24"/>
        </w:rPr>
        <w:footnoteReference w:id="1"/>
      </w:r>
      <w:r w:rsidRPr="00026D20">
        <w:rPr>
          <w:rFonts w:asciiTheme="minorHAnsi" w:hAnsiTheme="minorHAnsi" w:cstheme="minorHAnsi"/>
          <w:sz w:val="24"/>
          <w:szCs w:val="24"/>
        </w:rPr>
        <w:t>. Mining is essential for delivering quality economic growth over the next five years, as demonstrated by downstream mining development, sustainable infrastructure development, and the transformation of the service sector. Utilization of natural resources also contributes to the economic development of Indonesia.</w:t>
      </w:r>
    </w:p>
    <w:p w:rsidR="00FB57BE" w:rsidRDefault="00FB57BE" w:rsidP="00FB57BE">
      <w:pPr>
        <w:pStyle w:val="ListParagraph"/>
        <w:spacing w:after="0" w:line="240" w:lineRule="auto"/>
        <w:ind w:left="0"/>
        <w:contextualSpacing w:val="0"/>
        <w:jc w:val="both"/>
        <w:rPr>
          <w:rFonts w:asciiTheme="minorHAnsi" w:hAnsiTheme="minorHAnsi" w:cstheme="minorHAnsi"/>
          <w:sz w:val="24"/>
          <w:szCs w:val="24"/>
        </w:rPr>
      </w:pPr>
      <w:r w:rsidRPr="00026D20">
        <w:rPr>
          <w:rFonts w:asciiTheme="minorHAnsi" w:hAnsiTheme="minorHAnsi" w:cstheme="minorHAnsi"/>
          <w:sz w:val="24"/>
          <w:szCs w:val="24"/>
        </w:rPr>
        <w:t xml:space="preserve">However, its use frequently causes environmental harm </w:t>
      </w:r>
      <w:r w:rsidR="005F7846">
        <w:rPr>
          <w:rStyle w:val="FootnoteReference"/>
          <w:rFonts w:asciiTheme="minorHAnsi" w:hAnsiTheme="minorHAnsi" w:cstheme="minorHAnsi"/>
          <w:sz w:val="24"/>
          <w:szCs w:val="24"/>
        </w:rPr>
        <w:footnoteReference w:id="2"/>
      </w:r>
      <w:r w:rsidRPr="00026D20">
        <w:rPr>
          <w:rFonts w:asciiTheme="minorHAnsi" w:hAnsiTheme="minorHAnsi" w:cstheme="minorHAnsi"/>
          <w:sz w:val="24"/>
          <w:szCs w:val="24"/>
        </w:rPr>
        <w:t xml:space="preserve">. Based on field observations, reclamation is not appropriate in accordance with Government Regulation Number 78 of 2010 concerning Reclamation and Post-mining in Chapter V Article 21 where it is stated that reclamation and post-mining in articles 19 and 20 must be carried out no later than 30 (thirty) calendar days after no business activities Mining on disturbed land. Because of the disturbed land area that has been declared inactive or complete, it has not been completely reclaimed in accordance with its designation where the land has been disturbed / damaged due to activities. Mining covered 31.99 hectares as of the end of 2013, while land that has been reclaimed in accordance with its designation, namely revegetation, covered only 4.64 hectares as of the end of 2013, leaving 27.35 acres </w:t>
      </w:r>
      <w:proofErr w:type="spellStart"/>
      <w:r w:rsidRPr="00026D20">
        <w:rPr>
          <w:rFonts w:asciiTheme="minorHAnsi" w:hAnsiTheme="minorHAnsi" w:cstheme="minorHAnsi"/>
          <w:sz w:val="24"/>
          <w:szCs w:val="24"/>
        </w:rPr>
        <w:t>unreclaimed</w:t>
      </w:r>
      <w:proofErr w:type="spellEnd"/>
      <w:r w:rsidRPr="00026D20">
        <w:rPr>
          <w:rFonts w:asciiTheme="minorHAnsi" w:hAnsiTheme="minorHAnsi" w:cstheme="minorHAnsi"/>
          <w:sz w:val="24"/>
          <w:szCs w:val="24"/>
        </w:rPr>
        <w:t xml:space="preserve">. So that there is still land disturbed/damaged as a result of mining activities that harm the environment in the mining area </w:t>
      </w:r>
      <w:r w:rsidR="005F7846">
        <w:rPr>
          <w:rStyle w:val="FootnoteReference"/>
          <w:rFonts w:asciiTheme="minorHAnsi" w:hAnsiTheme="minorHAnsi" w:cstheme="minorHAnsi"/>
          <w:sz w:val="24"/>
          <w:szCs w:val="24"/>
        </w:rPr>
        <w:footnoteReference w:id="3"/>
      </w:r>
      <w:r w:rsidRPr="00026D20">
        <w:rPr>
          <w:rFonts w:asciiTheme="minorHAnsi" w:hAnsiTheme="minorHAnsi" w:cstheme="minorHAnsi"/>
          <w:sz w:val="24"/>
          <w:szCs w:val="24"/>
        </w:rPr>
        <w:t>.</w:t>
      </w:r>
    </w:p>
    <w:p w:rsidR="00FB57BE" w:rsidRDefault="00FB57BE" w:rsidP="00FB57BE">
      <w:pPr>
        <w:pStyle w:val="ListParagraph"/>
        <w:spacing w:after="0" w:line="240" w:lineRule="auto"/>
        <w:ind w:left="0"/>
        <w:contextualSpacing w:val="0"/>
        <w:jc w:val="both"/>
        <w:rPr>
          <w:rFonts w:asciiTheme="minorHAnsi" w:eastAsia="Times New Roman" w:hAnsiTheme="minorHAnsi" w:cstheme="minorHAnsi"/>
          <w:sz w:val="24"/>
          <w:szCs w:val="24"/>
          <w:lang w:eastAsia="id-ID"/>
        </w:rPr>
      </w:pPr>
      <w:r w:rsidRPr="00026D20">
        <w:rPr>
          <w:rFonts w:asciiTheme="minorHAnsi" w:hAnsiTheme="minorHAnsi" w:cstheme="minorHAnsi"/>
          <w:sz w:val="24"/>
          <w:szCs w:val="24"/>
        </w:rPr>
        <w:t>In addition to economic losses, the impact of mining activities can also cause social unrest that can disrupt the community. The focus of discussion in the mining sector is on economic issues in which the state and large corporations can benefit from the mining process and its outcomes. However, many aspects are frequently overlooked in the pursuit of these economic benefits</w:t>
      </w:r>
      <w:r w:rsidRPr="00026D20">
        <w:rPr>
          <w:rFonts w:asciiTheme="minorHAnsi" w:eastAsia="Times New Roman" w:hAnsiTheme="minorHAnsi" w:cstheme="minorHAnsi"/>
          <w:sz w:val="24"/>
          <w:szCs w:val="24"/>
          <w:lang w:eastAsia="id-ID"/>
        </w:rPr>
        <w:t xml:space="preserve"> </w:t>
      </w:r>
      <w:r w:rsidR="005F7846">
        <w:rPr>
          <w:rStyle w:val="FootnoteReference"/>
          <w:rFonts w:asciiTheme="minorHAnsi" w:eastAsia="Times New Roman" w:hAnsiTheme="minorHAnsi" w:cstheme="minorHAnsi"/>
          <w:sz w:val="24"/>
          <w:szCs w:val="24"/>
          <w:lang w:val="id-ID" w:eastAsia="id-ID"/>
        </w:rPr>
        <w:footnoteReference w:id="4"/>
      </w:r>
      <w:r w:rsidRPr="00026D20">
        <w:rPr>
          <w:rFonts w:asciiTheme="minorHAnsi" w:eastAsia="Times New Roman" w:hAnsiTheme="minorHAnsi" w:cstheme="minorHAnsi"/>
          <w:sz w:val="24"/>
          <w:szCs w:val="24"/>
          <w:lang w:val="id-ID" w:eastAsia="id-ID"/>
        </w:rPr>
        <w:t xml:space="preserve">. </w:t>
      </w:r>
      <w:r w:rsidRPr="00026D20">
        <w:rPr>
          <w:rFonts w:asciiTheme="minorHAnsi" w:hAnsiTheme="minorHAnsi" w:cstheme="minorHAnsi"/>
          <w:sz w:val="24"/>
          <w:szCs w:val="24"/>
        </w:rPr>
        <w:t xml:space="preserve">Mining has a big effect on the environment because it destroys forests, pollutes saltwater, spreads many diseases, and causes many fights between people who live in mining areas </w:t>
      </w:r>
      <w:r w:rsidR="005F7846">
        <w:rPr>
          <w:rStyle w:val="FootnoteReference"/>
          <w:rFonts w:asciiTheme="minorHAnsi" w:hAnsiTheme="minorHAnsi" w:cstheme="minorHAnsi"/>
          <w:sz w:val="24"/>
          <w:szCs w:val="24"/>
        </w:rPr>
        <w:footnoteReference w:id="5"/>
      </w:r>
      <w:r w:rsidRPr="00026D20">
        <w:rPr>
          <w:rFonts w:asciiTheme="minorHAnsi" w:hAnsiTheme="minorHAnsi" w:cstheme="minorHAnsi"/>
          <w:sz w:val="24"/>
          <w:szCs w:val="24"/>
          <w:lang w:val="id-ID"/>
        </w:rPr>
        <w:t>.</w:t>
      </w:r>
      <w:r w:rsidRPr="00026D20">
        <w:rPr>
          <w:rFonts w:asciiTheme="minorHAnsi" w:eastAsia="Times New Roman" w:hAnsiTheme="minorHAnsi" w:cstheme="minorHAnsi"/>
          <w:sz w:val="24"/>
          <w:szCs w:val="24"/>
          <w:lang w:val="id-ID" w:eastAsia="id-ID"/>
        </w:rPr>
        <w:t xml:space="preserve"> Mining activities contribute significantly to liquid waste.</w:t>
      </w:r>
      <w:r w:rsidRPr="00026D20">
        <w:rPr>
          <w:rFonts w:asciiTheme="minorHAnsi" w:eastAsia="Times New Roman" w:hAnsiTheme="minorHAnsi" w:cstheme="minorHAnsi"/>
          <w:sz w:val="24"/>
          <w:szCs w:val="24"/>
          <w:lang w:eastAsia="id-ID"/>
        </w:rPr>
        <w:t xml:space="preserve"> </w:t>
      </w:r>
      <w:r w:rsidRPr="00026D20">
        <w:rPr>
          <w:rFonts w:asciiTheme="minorHAnsi" w:eastAsia="Times New Roman" w:hAnsiTheme="minorHAnsi" w:cstheme="minorHAnsi"/>
          <w:sz w:val="24"/>
          <w:szCs w:val="24"/>
          <w:lang w:val="id-ID" w:eastAsia="id-ID"/>
        </w:rPr>
        <w:t>In 2000, the mining and quarrying sector contributed 167.7 trillion rupiahs to Indonesia's GDP, which increased to 1,028.8 trillion in 2017. The development of the mining industry, energy, and minerals exacerbated the waste problem</w:t>
      </w:r>
      <w:r w:rsidRPr="00026D20">
        <w:rPr>
          <w:rFonts w:asciiTheme="minorHAnsi" w:eastAsia="Times New Roman" w:hAnsiTheme="minorHAnsi" w:cstheme="minorHAnsi"/>
          <w:sz w:val="24"/>
          <w:szCs w:val="24"/>
          <w:lang w:eastAsia="id-ID"/>
        </w:rPr>
        <w:t xml:space="preserve"> </w:t>
      </w:r>
      <w:r w:rsidR="005F7846">
        <w:rPr>
          <w:rStyle w:val="FootnoteReference"/>
          <w:rFonts w:asciiTheme="minorHAnsi" w:eastAsia="Times New Roman" w:hAnsiTheme="minorHAnsi" w:cstheme="minorHAnsi"/>
          <w:sz w:val="24"/>
          <w:szCs w:val="24"/>
          <w:lang w:val="id-ID" w:eastAsia="id-ID"/>
        </w:rPr>
        <w:footnoteReference w:id="6"/>
      </w:r>
      <w:r w:rsidRPr="00026D20">
        <w:rPr>
          <w:rFonts w:asciiTheme="minorHAnsi" w:eastAsia="Times New Roman" w:hAnsiTheme="minorHAnsi" w:cstheme="minorHAnsi"/>
          <w:sz w:val="24"/>
          <w:szCs w:val="24"/>
          <w:lang w:eastAsia="id-ID"/>
        </w:rPr>
        <w:t>.</w:t>
      </w:r>
    </w:p>
    <w:p w:rsidR="00FB57BE" w:rsidRDefault="00FB57BE" w:rsidP="00FB57BE">
      <w:pPr>
        <w:pStyle w:val="ListParagraph"/>
        <w:spacing w:after="0" w:line="240" w:lineRule="auto"/>
        <w:ind w:left="0"/>
        <w:contextualSpacing w:val="0"/>
        <w:jc w:val="both"/>
        <w:rPr>
          <w:rFonts w:asciiTheme="minorHAnsi" w:hAnsiTheme="minorHAnsi" w:cstheme="minorHAnsi"/>
          <w:sz w:val="24"/>
          <w:szCs w:val="24"/>
        </w:rPr>
      </w:pPr>
      <w:r w:rsidRPr="00026D20">
        <w:rPr>
          <w:rFonts w:asciiTheme="minorHAnsi" w:eastAsia="Times New Roman" w:hAnsiTheme="minorHAnsi" w:cstheme="minorHAnsi"/>
          <w:sz w:val="24"/>
          <w:szCs w:val="24"/>
          <w:lang w:val="id-ID" w:eastAsia="id-ID"/>
        </w:rPr>
        <w:lastRenderedPageBreak/>
        <w:t>Most coal in East Kalimantan is extracted through open-pit mining</w:t>
      </w:r>
      <w:r w:rsidRPr="00026D20">
        <w:rPr>
          <w:rFonts w:asciiTheme="minorHAnsi" w:hAnsiTheme="minorHAnsi" w:cstheme="minorHAnsi"/>
          <w:sz w:val="24"/>
          <w:szCs w:val="24"/>
          <w:vertAlign w:val="superscript"/>
        </w:rPr>
        <w:t xml:space="preserve"> </w:t>
      </w:r>
      <w:r w:rsidR="005F7846">
        <w:rPr>
          <w:rStyle w:val="FootnoteReference"/>
          <w:rFonts w:asciiTheme="minorHAnsi" w:hAnsiTheme="minorHAnsi" w:cstheme="minorHAnsi"/>
          <w:sz w:val="24"/>
          <w:szCs w:val="24"/>
        </w:rPr>
        <w:footnoteReference w:id="7"/>
      </w:r>
      <w:r w:rsidRPr="00026D20">
        <w:rPr>
          <w:rFonts w:asciiTheme="minorHAnsi" w:hAnsiTheme="minorHAnsi" w:cstheme="minorHAnsi"/>
          <w:sz w:val="24"/>
          <w:szCs w:val="24"/>
          <w:lang w:val="id-ID"/>
        </w:rPr>
        <w:t>.</w:t>
      </w:r>
      <w:r w:rsidRPr="00026D20">
        <w:rPr>
          <w:rFonts w:asciiTheme="minorHAnsi" w:eastAsia="Times New Roman" w:hAnsiTheme="minorHAnsi" w:cstheme="minorHAnsi"/>
          <w:sz w:val="24"/>
          <w:szCs w:val="24"/>
          <w:lang w:val="id-ID" w:eastAsia="id-ID"/>
        </w:rPr>
        <w:t xml:space="preserve"> By interfering with subsurface hydrology, surface hydrology, and hydrological cycles, open-pit mining has the potential to destabilize the landscape, resulting in widespread deforestation </w:t>
      </w:r>
      <w:r w:rsidR="005F7846">
        <w:rPr>
          <w:rStyle w:val="FootnoteReference"/>
          <w:rFonts w:asciiTheme="minorHAnsi" w:eastAsia="Times New Roman" w:hAnsiTheme="minorHAnsi" w:cstheme="minorHAnsi"/>
          <w:sz w:val="24"/>
          <w:szCs w:val="24"/>
          <w:lang w:val="id-ID" w:eastAsia="id-ID"/>
        </w:rPr>
        <w:footnoteReference w:id="8"/>
      </w:r>
      <w:r w:rsidRPr="00026D20">
        <w:rPr>
          <w:rFonts w:asciiTheme="minorHAnsi" w:eastAsia="Times New Roman" w:hAnsiTheme="minorHAnsi" w:cstheme="minorHAnsi"/>
          <w:sz w:val="24"/>
          <w:szCs w:val="24"/>
          <w:lang w:val="id-ID" w:eastAsia="id-ID"/>
        </w:rPr>
        <w:t xml:space="preserve">. </w:t>
      </w:r>
      <w:r w:rsidRPr="00026D20">
        <w:rPr>
          <w:rFonts w:asciiTheme="minorHAnsi" w:hAnsiTheme="minorHAnsi" w:cstheme="minorHAnsi"/>
          <w:sz w:val="24"/>
          <w:szCs w:val="24"/>
        </w:rPr>
        <w:t xml:space="preserve">When mining ceases, hundreds of meters below the surface, the pits are filled with groundwater, precipitation, and runoff. A defunct mine shaft in East Kalimantan contains hazardous levels of heavy metals </w:t>
      </w:r>
      <w:bookmarkStart w:id="3" w:name="_Hlk119273528"/>
      <w:r w:rsidR="005F7846">
        <w:rPr>
          <w:rStyle w:val="FootnoteReference"/>
          <w:rFonts w:asciiTheme="minorHAnsi" w:hAnsiTheme="minorHAnsi" w:cstheme="minorHAnsi"/>
          <w:sz w:val="24"/>
          <w:szCs w:val="24"/>
        </w:rPr>
        <w:footnoteReference w:id="9"/>
      </w:r>
      <w:r w:rsidRPr="00026D20">
        <w:rPr>
          <w:rFonts w:asciiTheme="minorHAnsi" w:hAnsiTheme="minorHAnsi" w:cstheme="minorHAnsi"/>
          <w:sz w:val="24"/>
          <w:szCs w:val="24"/>
        </w:rPr>
        <w:t>.</w:t>
      </w:r>
      <w:bookmarkEnd w:id="3"/>
      <w:r w:rsidRPr="00026D20">
        <w:rPr>
          <w:rFonts w:asciiTheme="minorHAnsi" w:hAnsiTheme="minorHAnsi" w:cstheme="minorHAnsi"/>
          <w:sz w:val="24"/>
          <w:szCs w:val="24"/>
        </w:rPr>
        <w:t xml:space="preserve"> In addition, researcher Cut Hilda </w:t>
      </w:r>
      <w:proofErr w:type="spellStart"/>
      <w:r w:rsidRPr="00026D20">
        <w:rPr>
          <w:rFonts w:asciiTheme="minorHAnsi" w:hAnsiTheme="minorHAnsi" w:cstheme="minorHAnsi"/>
          <w:sz w:val="24"/>
          <w:szCs w:val="24"/>
        </w:rPr>
        <w:t>Meutia</w:t>
      </w:r>
      <w:proofErr w:type="spellEnd"/>
      <w:r w:rsidRPr="00026D20">
        <w:rPr>
          <w:rFonts w:asciiTheme="minorHAnsi" w:hAnsiTheme="minorHAnsi" w:cstheme="minorHAnsi"/>
          <w:sz w:val="24"/>
          <w:szCs w:val="24"/>
        </w:rPr>
        <w:t xml:space="preserve"> of Greenpeace discovered that the hole contained high levels of chemicals, including magnesium, iron, aluminum, cadmium, and arsenic. When you eat or breathe in these chemicals, the effects don't happen right away. Instead, they happen over time </w:t>
      </w:r>
      <w:r w:rsidR="005F7846">
        <w:rPr>
          <w:rStyle w:val="FootnoteReference"/>
          <w:rFonts w:asciiTheme="minorHAnsi" w:hAnsiTheme="minorHAnsi" w:cstheme="minorHAnsi"/>
          <w:sz w:val="24"/>
          <w:szCs w:val="24"/>
        </w:rPr>
        <w:footnoteReference w:id="10"/>
      </w:r>
      <w:r w:rsidRPr="00026D20">
        <w:rPr>
          <w:rFonts w:asciiTheme="minorHAnsi" w:hAnsiTheme="minorHAnsi" w:cstheme="minorHAnsi"/>
          <w:sz w:val="24"/>
          <w:szCs w:val="24"/>
        </w:rPr>
        <w:t>.</w:t>
      </w:r>
    </w:p>
    <w:p w:rsidR="00FB57BE" w:rsidRDefault="00FB57BE" w:rsidP="00FB57BE">
      <w:pPr>
        <w:pStyle w:val="ListParagraph"/>
        <w:spacing w:after="0" w:line="240" w:lineRule="auto"/>
        <w:ind w:left="0"/>
        <w:contextualSpacing w:val="0"/>
        <w:jc w:val="both"/>
        <w:rPr>
          <w:rFonts w:asciiTheme="minorHAnsi" w:hAnsiTheme="minorHAnsi" w:cstheme="minorHAnsi"/>
          <w:sz w:val="24"/>
          <w:szCs w:val="24"/>
          <w:lang w:val="id-ID"/>
        </w:rPr>
      </w:pPr>
      <w:r w:rsidRPr="00026D20">
        <w:rPr>
          <w:rFonts w:asciiTheme="minorHAnsi" w:hAnsiTheme="minorHAnsi" w:cstheme="minorHAnsi"/>
          <w:sz w:val="24"/>
          <w:szCs w:val="24"/>
        </w:rPr>
        <w:t xml:space="preserve">The Mining Advocacy Network says that there were 3,092 mining holes in East Kalimantan in 2018, and in 2020, there will be 1,735 holes that have already been dug </w:t>
      </w:r>
      <w:r w:rsidR="005F7846">
        <w:rPr>
          <w:rStyle w:val="FootnoteReference"/>
          <w:rFonts w:asciiTheme="minorHAnsi" w:hAnsiTheme="minorHAnsi" w:cstheme="minorHAnsi"/>
          <w:sz w:val="24"/>
          <w:szCs w:val="24"/>
        </w:rPr>
        <w:footnoteReference w:id="11"/>
      </w:r>
      <w:r w:rsidRPr="00026D20">
        <w:rPr>
          <w:rFonts w:asciiTheme="minorHAnsi" w:hAnsiTheme="minorHAnsi" w:cstheme="minorHAnsi"/>
          <w:sz w:val="24"/>
          <w:szCs w:val="24"/>
          <w:lang w:val="id-ID"/>
        </w:rPr>
        <w:t xml:space="preserve">. Between 2014 and 2018, 115 individuals perished due to mine shafts in East Kalimantan's former coal mining regions. As Samarinda's mining expansion continued, landslides and flooding worsened. Mining has consumed 70% of the municipal land area in Samarinda. </w:t>
      </w:r>
      <w:r w:rsidRPr="00026D20">
        <w:rPr>
          <w:rFonts w:asciiTheme="minorHAnsi" w:hAnsiTheme="minorHAnsi" w:cstheme="minorHAnsi"/>
          <w:sz w:val="24"/>
          <w:szCs w:val="24"/>
        </w:rPr>
        <w:t>The Mining Advocacy Network</w:t>
      </w:r>
      <w:r w:rsidRPr="00026D20">
        <w:rPr>
          <w:rFonts w:asciiTheme="minorHAnsi" w:hAnsiTheme="minorHAnsi" w:cstheme="minorHAnsi"/>
          <w:sz w:val="24"/>
          <w:szCs w:val="24"/>
          <w:lang w:val="id-ID"/>
        </w:rPr>
        <w:t xml:space="preserve"> and the World Wildlife Fund researched and found that the damage would cost about $9 million</w:t>
      </w:r>
      <w:r w:rsidRPr="00026D20">
        <w:rPr>
          <w:rFonts w:asciiTheme="minorHAnsi" w:hAnsiTheme="minorHAnsi" w:cstheme="minorHAnsi"/>
          <w:sz w:val="24"/>
          <w:szCs w:val="24"/>
        </w:rPr>
        <w:t xml:space="preserve"> </w:t>
      </w:r>
      <w:r w:rsidR="005F7846">
        <w:rPr>
          <w:rStyle w:val="FootnoteReference"/>
          <w:rFonts w:asciiTheme="minorHAnsi" w:hAnsiTheme="minorHAnsi" w:cstheme="minorHAnsi"/>
          <w:sz w:val="24"/>
          <w:szCs w:val="24"/>
          <w:lang w:val="id-ID"/>
        </w:rPr>
        <w:footnoteReference w:id="12"/>
      </w:r>
      <w:r w:rsidRPr="00026D20">
        <w:rPr>
          <w:rFonts w:asciiTheme="minorHAnsi" w:hAnsiTheme="minorHAnsi" w:cstheme="minorHAnsi"/>
          <w:sz w:val="24"/>
          <w:szCs w:val="24"/>
          <w:lang w:val="id-ID"/>
        </w:rPr>
        <w:t>.</w:t>
      </w:r>
      <w:r w:rsidRPr="00026D20">
        <w:rPr>
          <w:rFonts w:asciiTheme="minorHAnsi" w:hAnsiTheme="minorHAnsi" w:cstheme="minorHAnsi"/>
          <w:sz w:val="24"/>
          <w:szCs w:val="24"/>
        </w:rPr>
        <w:t xml:space="preserve"> </w:t>
      </w:r>
      <w:r w:rsidRPr="00026D20">
        <w:rPr>
          <w:rFonts w:asciiTheme="minorHAnsi" w:hAnsiTheme="minorHAnsi" w:cstheme="minorHAnsi"/>
          <w:sz w:val="24"/>
          <w:szCs w:val="24"/>
          <w:lang w:val="id-ID"/>
        </w:rPr>
        <w:t>In Indonesia, the future of coal mining is also pointing to low-rank, lignite-grade coals. Because of this quality shift, the amount of tonnage mined, trucked, and barged will increase over time in order to maintain current energy-equivalent levels.</w:t>
      </w:r>
      <w:r w:rsidRPr="00026D20">
        <w:rPr>
          <w:rFonts w:asciiTheme="minorHAnsi" w:hAnsiTheme="minorHAnsi" w:cstheme="minorHAnsi"/>
          <w:sz w:val="24"/>
          <w:szCs w:val="24"/>
        </w:rPr>
        <w:t xml:space="preserve"> </w:t>
      </w:r>
      <w:r w:rsidRPr="00026D20">
        <w:rPr>
          <w:rFonts w:asciiTheme="minorHAnsi" w:hAnsiTheme="minorHAnsi" w:cstheme="minorHAnsi"/>
          <w:sz w:val="24"/>
          <w:szCs w:val="24"/>
          <w:lang w:val="id-ID"/>
        </w:rPr>
        <w:t>Because all of these operations run on diesel, the amount of diesel consumed in mining is expected to rise, exposing the industry to volatile fuel prices</w:t>
      </w:r>
      <w:r w:rsidR="005F7846">
        <w:rPr>
          <w:rStyle w:val="FootnoteReference"/>
          <w:rFonts w:asciiTheme="minorHAnsi" w:hAnsiTheme="minorHAnsi" w:cstheme="minorHAnsi"/>
          <w:sz w:val="24"/>
          <w:szCs w:val="24"/>
          <w:lang w:val="id-ID"/>
        </w:rPr>
        <w:footnoteReference w:id="13"/>
      </w:r>
      <w:r w:rsidRPr="00026D20">
        <w:rPr>
          <w:rFonts w:asciiTheme="minorHAnsi" w:hAnsiTheme="minorHAnsi" w:cstheme="minorHAnsi"/>
          <w:sz w:val="24"/>
          <w:szCs w:val="24"/>
        </w:rPr>
        <w:t>. Open-pit nickel mining activities, preceded by land clearing, topsoil erosion, dredging, and stockpiling, have severe environmental impacts, including increased erosion rates, runoff, sedimentation, and damage to water catchment areas, as well as disruption of stability levels. Land. There could also be changes in the status of indigenous plant species and animal habitats, damage to indigenous natural resources, and a drop in the quality of the social and cultural environment and public health</w:t>
      </w:r>
      <w:r w:rsidRPr="00026D20">
        <w:rPr>
          <w:rFonts w:asciiTheme="minorHAnsi" w:hAnsiTheme="minorHAnsi" w:cstheme="minorHAnsi"/>
          <w:sz w:val="24"/>
          <w:szCs w:val="24"/>
          <w:vertAlign w:val="superscript"/>
        </w:rPr>
        <w:t xml:space="preserve"> </w:t>
      </w:r>
      <w:r w:rsidR="005F7846">
        <w:rPr>
          <w:rStyle w:val="FootnoteReference"/>
          <w:rFonts w:asciiTheme="minorHAnsi" w:hAnsiTheme="minorHAnsi" w:cstheme="minorHAnsi"/>
          <w:sz w:val="24"/>
          <w:szCs w:val="24"/>
        </w:rPr>
        <w:footnoteReference w:id="14"/>
      </w:r>
      <w:r w:rsidRPr="00026D20">
        <w:rPr>
          <w:rFonts w:asciiTheme="minorHAnsi" w:hAnsiTheme="minorHAnsi" w:cstheme="minorHAnsi"/>
          <w:sz w:val="24"/>
          <w:szCs w:val="24"/>
          <w:lang w:val="id-ID"/>
        </w:rPr>
        <w:t>.</w:t>
      </w:r>
    </w:p>
    <w:p w:rsidR="00FB57BE" w:rsidRDefault="00FB57BE" w:rsidP="00FB57BE">
      <w:pPr>
        <w:pStyle w:val="ListParagraph"/>
        <w:spacing w:after="0" w:line="240" w:lineRule="auto"/>
        <w:ind w:left="0"/>
        <w:contextualSpacing w:val="0"/>
        <w:jc w:val="both"/>
        <w:rPr>
          <w:rFonts w:asciiTheme="minorHAnsi" w:hAnsiTheme="minorHAnsi" w:cstheme="minorHAnsi"/>
          <w:sz w:val="24"/>
          <w:szCs w:val="24"/>
        </w:rPr>
      </w:pPr>
      <w:r w:rsidRPr="00026D20">
        <w:rPr>
          <w:rFonts w:asciiTheme="minorHAnsi" w:hAnsiTheme="minorHAnsi" w:cstheme="minorHAnsi"/>
          <w:sz w:val="24"/>
          <w:szCs w:val="24"/>
        </w:rPr>
        <w:t xml:space="preserve">Still, because of Decree-Law No. 32 of 2009 on Environmental Protection and Management and Law No. 24 of 2007 on Disaster Management, the state cannot </w:t>
      </w:r>
      <w:r w:rsidRPr="00026D20">
        <w:rPr>
          <w:rFonts w:asciiTheme="minorHAnsi" w:hAnsiTheme="minorHAnsi" w:cstheme="minorHAnsi"/>
          <w:sz w:val="24"/>
          <w:szCs w:val="24"/>
        </w:rPr>
        <w:lastRenderedPageBreak/>
        <w:t>ignore the problem of too many mining licenses that damage the environment and cause disasters </w:t>
      </w:r>
      <w:r w:rsidR="005F7846">
        <w:rPr>
          <w:rStyle w:val="FootnoteReference"/>
          <w:rFonts w:asciiTheme="minorHAnsi" w:hAnsiTheme="minorHAnsi" w:cstheme="minorHAnsi"/>
          <w:sz w:val="24"/>
          <w:szCs w:val="24"/>
        </w:rPr>
        <w:footnoteReference w:id="15"/>
      </w:r>
      <w:r w:rsidRPr="00026D20">
        <w:rPr>
          <w:rFonts w:asciiTheme="minorHAnsi" w:hAnsiTheme="minorHAnsi" w:cstheme="minorHAnsi"/>
          <w:sz w:val="24"/>
          <w:szCs w:val="24"/>
          <w:lang w:val="id-ID"/>
        </w:rPr>
        <w:t>.</w:t>
      </w:r>
      <w:r w:rsidRPr="00026D20">
        <w:rPr>
          <w:rFonts w:asciiTheme="minorHAnsi" w:eastAsia="Times New Roman" w:hAnsiTheme="minorHAnsi" w:cstheme="minorHAnsi"/>
          <w:sz w:val="24"/>
          <w:szCs w:val="24"/>
          <w:lang w:val="id-ID" w:eastAsia="id-ID"/>
        </w:rPr>
        <w:t xml:space="preserve"> </w:t>
      </w:r>
      <w:r w:rsidRPr="00026D20">
        <w:rPr>
          <w:rFonts w:asciiTheme="minorHAnsi" w:hAnsiTheme="minorHAnsi" w:cstheme="minorHAnsi"/>
          <w:sz w:val="24"/>
          <w:szCs w:val="24"/>
        </w:rPr>
        <w:t xml:space="preserve">Based on Article 82 of the Environmental Protection and Management Act as revised by the Job creation law, it regulates the Central Government's ability to compel the head of a company to perform environmental restoration in response to environmental pollution and damage </w:t>
      </w:r>
      <w:r w:rsidR="005F7846">
        <w:rPr>
          <w:rStyle w:val="FootnoteReference"/>
          <w:rFonts w:asciiTheme="minorHAnsi" w:hAnsiTheme="minorHAnsi" w:cstheme="minorHAnsi"/>
          <w:sz w:val="24"/>
          <w:szCs w:val="24"/>
        </w:rPr>
        <w:footnoteReference w:id="16"/>
      </w:r>
      <w:r w:rsidRPr="00026D20">
        <w:rPr>
          <w:rFonts w:asciiTheme="minorHAnsi" w:hAnsiTheme="minorHAnsi" w:cstheme="minorHAnsi"/>
          <w:sz w:val="24"/>
          <w:szCs w:val="24"/>
        </w:rPr>
        <w:t xml:space="preserve">. The mining industry has complex effects on both the environment and social life. Ecological degradation frequently results from development activities, diminishing the quality of the environment and endangering human survival. Undoubtedly, the existence of difficulties related to the effects of mining contributes to community unrest. As the legal basis for the mining activity licensing system, Environmental impact analysis will be very important to Indonesia's efforts to protect and manage the environment </w:t>
      </w:r>
      <w:r w:rsidR="005F7846">
        <w:rPr>
          <w:rStyle w:val="FootnoteReference"/>
          <w:rFonts w:asciiTheme="minorHAnsi" w:hAnsiTheme="minorHAnsi" w:cstheme="minorHAnsi"/>
          <w:sz w:val="24"/>
          <w:szCs w:val="24"/>
        </w:rPr>
        <w:footnoteReference w:id="17"/>
      </w:r>
      <w:r w:rsidRPr="00026D20">
        <w:rPr>
          <w:rFonts w:asciiTheme="minorHAnsi" w:hAnsiTheme="minorHAnsi" w:cstheme="minorHAnsi"/>
          <w:sz w:val="24"/>
          <w:szCs w:val="24"/>
          <w:lang w:val="id-ID"/>
        </w:rPr>
        <w:t>.</w:t>
      </w:r>
      <w:r w:rsidRPr="00026D20">
        <w:rPr>
          <w:rFonts w:asciiTheme="minorHAnsi" w:hAnsiTheme="minorHAnsi" w:cstheme="minorHAnsi"/>
          <w:sz w:val="24"/>
          <w:szCs w:val="24"/>
        </w:rPr>
        <w:t xml:space="preserve"> The obligation to comply with regulations in the mining sector is a legal consequence that every mining company must accept. Any company that obtains a mining permit must develop a plan for the environmental impact of reclamation and post-mining. However, based on the realization and facts that occur in the mining industry, many mining business actors are negligent in performing post-mine reclamation or reclamation is not done as it should be.</w:t>
      </w:r>
    </w:p>
    <w:p w:rsidR="00FB57BE" w:rsidRDefault="00FB57BE" w:rsidP="00FB57BE">
      <w:pPr>
        <w:pStyle w:val="ListParagraph"/>
        <w:spacing w:after="0" w:line="240" w:lineRule="auto"/>
        <w:ind w:left="0"/>
        <w:contextualSpacing w:val="0"/>
        <w:jc w:val="both"/>
        <w:rPr>
          <w:rFonts w:asciiTheme="minorHAnsi" w:hAnsiTheme="minorHAnsi" w:cstheme="minorHAnsi"/>
          <w:sz w:val="24"/>
          <w:szCs w:val="24"/>
          <w:lang w:val="id-ID"/>
        </w:rPr>
      </w:pPr>
      <w:r w:rsidRPr="00026D20">
        <w:rPr>
          <w:rFonts w:asciiTheme="minorHAnsi" w:hAnsiTheme="minorHAnsi" w:cstheme="minorHAnsi"/>
          <w:sz w:val="24"/>
          <w:szCs w:val="24"/>
        </w:rPr>
        <w:t>When trying to protect the environment, it's important to look at the effects on the environment so that conditions that are good for long-term growth can be kept </w:t>
      </w:r>
      <w:r w:rsidR="005F7846">
        <w:rPr>
          <w:rStyle w:val="FootnoteReference"/>
          <w:rFonts w:asciiTheme="minorHAnsi" w:hAnsiTheme="minorHAnsi" w:cstheme="minorHAnsi"/>
          <w:sz w:val="24"/>
          <w:szCs w:val="24"/>
        </w:rPr>
        <w:footnoteReference w:id="18"/>
      </w:r>
      <w:r w:rsidRPr="00026D20">
        <w:rPr>
          <w:rFonts w:asciiTheme="minorHAnsi" w:hAnsiTheme="minorHAnsi" w:cstheme="minorHAnsi"/>
          <w:sz w:val="24"/>
          <w:szCs w:val="24"/>
          <w:lang w:val="id-ID"/>
        </w:rPr>
        <w:t>.</w:t>
      </w:r>
      <w:r w:rsidRPr="00026D20">
        <w:rPr>
          <w:rFonts w:asciiTheme="minorHAnsi" w:eastAsia="Times New Roman" w:hAnsiTheme="minorHAnsi" w:cstheme="minorHAnsi"/>
          <w:sz w:val="24"/>
          <w:szCs w:val="24"/>
          <w:lang w:val="id-ID" w:eastAsia="id-ID"/>
        </w:rPr>
        <w:t xml:space="preserve"> </w:t>
      </w:r>
      <w:r w:rsidRPr="00026D20">
        <w:rPr>
          <w:rFonts w:asciiTheme="minorHAnsi" w:hAnsiTheme="minorHAnsi" w:cstheme="minorHAnsi"/>
          <w:sz w:val="24"/>
          <w:szCs w:val="24"/>
        </w:rPr>
        <w:t>Because of this, it is important to do a thorough study of how to restore the environment after mining so that sustainable and environmentally sound environmental management can be done best </w:t>
      </w:r>
      <w:r w:rsidR="005F7846">
        <w:rPr>
          <w:rStyle w:val="FootnoteReference"/>
          <w:rFonts w:asciiTheme="minorHAnsi" w:eastAsia="Times New Roman" w:hAnsiTheme="minorHAnsi" w:cstheme="minorHAnsi"/>
          <w:sz w:val="24"/>
          <w:szCs w:val="24"/>
          <w:lang w:val="id-ID" w:eastAsia="id-ID"/>
        </w:rPr>
        <w:footnoteReference w:id="19"/>
      </w:r>
      <w:r w:rsidRPr="00026D20">
        <w:rPr>
          <w:rFonts w:asciiTheme="minorHAnsi" w:eastAsia="Times New Roman" w:hAnsiTheme="minorHAnsi" w:cstheme="minorHAnsi"/>
          <w:sz w:val="24"/>
          <w:szCs w:val="24"/>
          <w:lang w:val="id-ID" w:eastAsia="id-ID"/>
        </w:rPr>
        <w:t xml:space="preserve">. </w:t>
      </w:r>
      <w:r w:rsidRPr="00026D20">
        <w:rPr>
          <w:rFonts w:asciiTheme="minorHAnsi" w:hAnsiTheme="minorHAnsi" w:cstheme="minorHAnsi"/>
          <w:sz w:val="24"/>
          <w:szCs w:val="24"/>
        </w:rPr>
        <w:t xml:space="preserve">This research aligns with the SDGs' ecological development pillars, namely the attainment of clean and affordable energy that promotes human well-being. Sustainable management of affordable, environmentally friendly energy that sustains all life. Environmental sustainability is primarily intended to convey to future generations that sustainable development is a global priority that serves as the foundation for achieving community welfare objectives </w:t>
      </w:r>
      <w:r w:rsidR="005F7846">
        <w:rPr>
          <w:rStyle w:val="FootnoteReference"/>
          <w:rFonts w:asciiTheme="minorHAnsi" w:hAnsiTheme="minorHAnsi" w:cstheme="minorHAnsi"/>
          <w:sz w:val="24"/>
          <w:szCs w:val="24"/>
        </w:rPr>
        <w:footnoteReference w:id="20"/>
      </w:r>
      <w:r w:rsidRPr="00026D20">
        <w:rPr>
          <w:rFonts w:asciiTheme="minorHAnsi" w:hAnsiTheme="minorHAnsi" w:cstheme="minorHAnsi"/>
          <w:sz w:val="24"/>
          <w:szCs w:val="24"/>
        </w:rPr>
        <w:t xml:space="preserve">. The cumulative effects of mining activities can affect how the public views the mining company's presence. So, it's important to figure out how much the </w:t>
      </w:r>
      <w:r w:rsidRPr="00026D20">
        <w:rPr>
          <w:rFonts w:asciiTheme="minorHAnsi" w:hAnsiTheme="minorHAnsi" w:cstheme="minorHAnsi"/>
          <w:sz w:val="24"/>
          <w:szCs w:val="24"/>
        </w:rPr>
        <w:lastRenderedPageBreak/>
        <w:t>mining will hurt the economy, the environment, and the social life of the people who live in the area</w:t>
      </w:r>
      <w:r w:rsidRPr="00026D20">
        <w:rPr>
          <w:rFonts w:asciiTheme="minorHAnsi" w:eastAsia="Times New Roman" w:hAnsiTheme="minorHAnsi" w:cstheme="minorHAnsi"/>
          <w:sz w:val="24"/>
          <w:szCs w:val="24"/>
          <w:lang w:eastAsia="id-ID"/>
        </w:rPr>
        <w:t xml:space="preserve"> </w:t>
      </w:r>
      <w:r w:rsidR="005F7846">
        <w:rPr>
          <w:rStyle w:val="FootnoteReference"/>
          <w:rFonts w:asciiTheme="minorHAnsi" w:hAnsiTheme="minorHAnsi" w:cstheme="minorHAnsi"/>
          <w:sz w:val="24"/>
          <w:szCs w:val="24"/>
        </w:rPr>
        <w:footnoteReference w:id="21"/>
      </w:r>
      <w:r w:rsidRPr="00026D20">
        <w:rPr>
          <w:rFonts w:asciiTheme="minorHAnsi" w:hAnsiTheme="minorHAnsi" w:cstheme="minorHAnsi"/>
          <w:sz w:val="24"/>
          <w:szCs w:val="24"/>
          <w:lang w:val="id-ID"/>
        </w:rPr>
        <w:t>.</w:t>
      </w:r>
    </w:p>
    <w:p w:rsidR="00FB57BE" w:rsidRDefault="00FB57BE" w:rsidP="00FB57BE">
      <w:pPr>
        <w:pStyle w:val="ListParagraph"/>
        <w:spacing w:after="0" w:line="240" w:lineRule="auto"/>
        <w:ind w:left="0"/>
        <w:contextualSpacing w:val="0"/>
        <w:jc w:val="both"/>
        <w:rPr>
          <w:rFonts w:asciiTheme="minorHAnsi" w:eastAsia="Times New Roman" w:hAnsiTheme="minorHAnsi" w:cstheme="minorHAnsi"/>
          <w:sz w:val="24"/>
          <w:szCs w:val="24"/>
          <w:lang w:eastAsia="id-ID"/>
        </w:rPr>
      </w:pPr>
      <w:r w:rsidRPr="00026D20">
        <w:rPr>
          <w:rFonts w:asciiTheme="minorHAnsi" w:hAnsiTheme="minorHAnsi" w:cstheme="minorHAnsi"/>
          <w:sz w:val="24"/>
          <w:szCs w:val="24"/>
        </w:rPr>
        <w:t>Mining management policies must be directed in this regard to minimize the emergence of chaos. Mining activities that use land may or may not yield benefits, support environmental sustainability, and social justice, depending on land management policy. Government policy is required for the development and implementation of national procedures and appropriate strategies for environmental management implementation. In addition, monitoring must be performed on every mining operation in order to minimize the resulting impacts and reduce illegal mining fraud. In order to ensure the survival of a community, business actors are required to pay more attention to environmental and community conditions in addition to improving government policies. According to the information given, there are still a lot of abandoned mining pits whose cleanup and use after mining do not meet government standards </w:t>
      </w:r>
      <w:r w:rsidR="005F7846">
        <w:rPr>
          <w:rStyle w:val="FootnoteReference"/>
          <w:rFonts w:asciiTheme="minorHAnsi" w:eastAsia="Times New Roman" w:hAnsiTheme="minorHAnsi" w:cstheme="minorHAnsi"/>
          <w:sz w:val="24"/>
          <w:szCs w:val="24"/>
          <w:lang w:val="id-ID" w:eastAsia="id-ID"/>
        </w:rPr>
        <w:footnoteReference w:id="22"/>
      </w:r>
      <w:r w:rsidRPr="00026D20">
        <w:rPr>
          <w:rFonts w:asciiTheme="minorHAnsi" w:eastAsia="Times New Roman" w:hAnsiTheme="minorHAnsi" w:cstheme="minorHAnsi"/>
          <w:sz w:val="24"/>
          <w:szCs w:val="24"/>
          <w:lang w:eastAsia="id-ID"/>
        </w:rPr>
        <w:t>.</w:t>
      </w:r>
      <w:r>
        <w:rPr>
          <w:rFonts w:asciiTheme="minorHAnsi" w:eastAsia="Times New Roman" w:hAnsiTheme="minorHAnsi" w:cstheme="minorHAnsi"/>
          <w:sz w:val="24"/>
          <w:szCs w:val="24"/>
          <w:lang w:eastAsia="id-ID"/>
        </w:rPr>
        <w:t xml:space="preserve"> </w:t>
      </w:r>
    </w:p>
    <w:p w:rsidR="00FB57BE" w:rsidRDefault="00FB57BE" w:rsidP="00FB57BE">
      <w:pPr>
        <w:pStyle w:val="ListParagraph"/>
        <w:spacing w:after="0" w:line="240" w:lineRule="auto"/>
        <w:ind w:left="0"/>
        <w:contextualSpacing w:val="0"/>
        <w:jc w:val="both"/>
        <w:rPr>
          <w:rFonts w:asciiTheme="minorHAnsi" w:hAnsiTheme="minorHAnsi" w:cstheme="minorHAnsi"/>
          <w:sz w:val="24"/>
          <w:szCs w:val="24"/>
        </w:rPr>
      </w:pPr>
      <w:proofErr w:type="spellStart"/>
      <w:r w:rsidRPr="00026D20">
        <w:rPr>
          <w:rFonts w:asciiTheme="minorHAnsi" w:hAnsiTheme="minorHAnsi" w:cstheme="minorHAnsi"/>
          <w:sz w:val="24"/>
          <w:szCs w:val="24"/>
        </w:rPr>
        <w:t>Fitri</w:t>
      </w:r>
      <w:proofErr w:type="spellEnd"/>
      <w:r w:rsidRPr="00026D20">
        <w:rPr>
          <w:rFonts w:asciiTheme="minorHAnsi" w:hAnsiTheme="minorHAnsi" w:cstheme="minorHAnsi"/>
          <w:sz w:val="24"/>
          <w:szCs w:val="24"/>
        </w:rPr>
        <w:t xml:space="preserve"> </w:t>
      </w:r>
      <w:proofErr w:type="spellStart"/>
      <w:r w:rsidRPr="00026D20">
        <w:rPr>
          <w:rFonts w:asciiTheme="minorHAnsi" w:hAnsiTheme="minorHAnsi" w:cstheme="minorHAnsi"/>
          <w:sz w:val="24"/>
          <w:szCs w:val="24"/>
        </w:rPr>
        <w:t>Ramdhani</w:t>
      </w:r>
      <w:proofErr w:type="spellEnd"/>
      <w:r w:rsidRPr="00026D20">
        <w:rPr>
          <w:rFonts w:asciiTheme="minorHAnsi" w:hAnsiTheme="minorHAnsi" w:cstheme="minorHAnsi"/>
          <w:sz w:val="24"/>
          <w:szCs w:val="24"/>
        </w:rPr>
        <w:t xml:space="preserve"> Previous research conducted by </w:t>
      </w:r>
      <w:proofErr w:type="spellStart"/>
      <w:r w:rsidRPr="00026D20">
        <w:rPr>
          <w:rFonts w:asciiTheme="minorHAnsi" w:hAnsiTheme="minorHAnsi" w:cstheme="minorHAnsi"/>
          <w:sz w:val="24"/>
          <w:szCs w:val="24"/>
        </w:rPr>
        <w:t>Harahap</w:t>
      </w:r>
      <w:proofErr w:type="spellEnd"/>
      <w:r w:rsidRPr="00026D20">
        <w:rPr>
          <w:rFonts w:asciiTheme="minorHAnsi" w:hAnsiTheme="minorHAnsi" w:cstheme="minorHAnsi"/>
          <w:sz w:val="24"/>
          <w:szCs w:val="24"/>
        </w:rPr>
        <w:t xml:space="preserve"> on post-mining land restoration revealed that the damage caused by tin mining has increased, especially with the advent of unconventional mining. The reclamation of mined land is well-planned and executed to achieve the best results. While restoration is defined as an attempt to repair or restore degraded land to its original condition </w:t>
      </w:r>
      <w:r w:rsidR="005F7846">
        <w:rPr>
          <w:rStyle w:val="FootnoteReference"/>
          <w:rFonts w:asciiTheme="minorHAnsi" w:hAnsiTheme="minorHAnsi" w:cstheme="minorHAnsi"/>
          <w:sz w:val="24"/>
          <w:szCs w:val="24"/>
        </w:rPr>
        <w:footnoteReference w:id="23"/>
      </w:r>
      <w:r w:rsidRPr="00026D20">
        <w:rPr>
          <w:rFonts w:asciiTheme="minorHAnsi" w:hAnsiTheme="minorHAnsi" w:cstheme="minorHAnsi"/>
          <w:sz w:val="24"/>
          <w:szCs w:val="24"/>
        </w:rPr>
        <w:t>.</w:t>
      </w:r>
      <w:r w:rsidRPr="00026D20">
        <w:rPr>
          <w:rFonts w:asciiTheme="minorHAnsi" w:hAnsiTheme="minorHAnsi" w:cstheme="minorHAnsi"/>
          <w:sz w:val="24"/>
          <w:szCs w:val="24"/>
          <w:vertAlign w:val="superscript"/>
        </w:rPr>
        <w:t xml:space="preserve"> </w:t>
      </w:r>
      <w:proofErr w:type="spellStart"/>
      <w:r w:rsidRPr="00026D20">
        <w:rPr>
          <w:rFonts w:asciiTheme="minorHAnsi" w:hAnsiTheme="minorHAnsi" w:cstheme="minorHAnsi"/>
          <w:sz w:val="24"/>
          <w:szCs w:val="24"/>
        </w:rPr>
        <w:t>Afidah</w:t>
      </w:r>
      <w:proofErr w:type="spellEnd"/>
      <w:r w:rsidRPr="00026D20">
        <w:rPr>
          <w:rFonts w:asciiTheme="minorHAnsi" w:hAnsiTheme="minorHAnsi" w:cstheme="minorHAnsi"/>
          <w:sz w:val="24"/>
          <w:szCs w:val="24"/>
        </w:rPr>
        <w:t xml:space="preserve"> Nur </w:t>
      </w:r>
      <w:proofErr w:type="spellStart"/>
      <w:r w:rsidRPr="00026D20">
        <w:rPr>
          <w:rFonts w:asciiTheme="minorHAnsi" w:hAnsiTheme="minorHAnsi" w:cstheme="minorHAnsi"/>
          <w:sz w:val="24"/>
          <w:szCs w:val="24"/>
        </w:rPr>
        <w:t>Rizki</w:t>
      </w:r>
      <w:proofErr w:type="spellEnd"/>
      <w:r w:rsidRPr="00026D20">
        <w:rPr>
          <w:rFonts w:asciiTheme="minorHAnsi" w:hAnsiTheme="minorHAnsi" w:cstheme="minorHAnsi"/>
          <w:sz w:val="24"/>
          <w:szCs w:val="24"/>
        </w:rPr>
        <w:t xml:space="preserve"> and </w:t>
      </w:r>
      <w:proofErr w:type="spellStart"/>
      <w:r w:rsidRPr="00026D20">
        <w:rPr>
          <w:rFonts w:asciiTheme="minorHAnsi" w:hAnsiTheme="minorHAnsi" w:cstheme="minorHAnsi"/>
          <w:sz w:val="24"/>
          <w:szCs w:val="24"/>
        </w:rPr>
        <w:t>Amrie</w:t>
      </w:r>
      <w:proofErr w:type="spellEnd"/>
      <w:r w:rsidRPr="00026D20">
        <w:rPr>
          <w:rFonts w:asciiTheme="minorHAnsi" w:hAnsiTheme="minorHAnsi" w:cstheme="minorHAnsi"/>
          <w:sz w:val="24"/>
          <w:szCs w:val="24"/>
        </w:rPr>
        <w:t xml:space="preserve"> </w:t>
      </w:r>
      <w:proofErr w:type="spellStart"/>
      <w:r w:rsidRPr="00026D20">
        <w:rPr>
          <w:rFonts w:asciiTheme="minorHAnsi" w:hAnsiTheme="minorHAnsi" w:cstheme="minorHAnsi"/>
          <w:sz w:val="24"/>
          <w:szCs w:val="24"/>
        </w:rPr>
        <w:t>Firmansyah</w:t>
      </w:r>
      <w:proofErr w:type="spellEnd"/>
      <w:r w:rsidRPr="00026D20">
        <w:rPr>
          <w:rFonts w:asciiTheme="minorHAnsi" w:hAnsiTheme="minorHAnsi" w:cstheme="minorHAnsi"/>
          <w:sz w:val="24"/>
          <w:szCs w:val="24"/>
        </w:rPr>
        <w:t xml:space="preserve"> evaluated Indonesia's reclamation and post-mining environmental responsibilities, meanwhile. From 2015 to 2018, five mining companies put the costs of their environmental responsibilities for reclamation and post-mining (</w:t>
      </w:r>
      <w:proofErr w:type="spellStart"/>
      <w:r w:rsidRPr="00026D20">
        <w:rPr>
          <w:rFonts w:asciiTheme="minorHAnsi" w:hAnsiTheme="minorHAnsi" w:cstheme="minorHAnsi"/>
          <w:sz w:val="24"/>
          <w:szCs w:val="24"/>
        </w:rPr>
        <w:t>CaLK</w:t>
      </w:r>
      <w:proofErr w:type="spellEnd"/>
      <w:r w:rsidRPr="00026D20">
        <w:rPr>
          <w:rFonts w:asciiTheme="minorHAnsi" w:hAnsiTheme="minorHAnsi" w:cstheme="minorHAnsi"/>
          <w:sz w:val="24"/>
          <w:szCs w:val="24"/>
        </w:rPr>
        <w:t>) in their annual financial statements and notes to consolidated financial statements</w:t>
      </w:r>
      <w:r w:rsidRPr="00026D20">
        <w:rPr>
          <w:rFonts w:asciiTheme="minorHAnsi" w:hAnsiTheme="minorHAnsi" w:cstheme="minorHAnsi"/>
          <w:sz w:val="24"/>
          <w:szCs w:val="24"/>
          <w:lang w:eastAsia="id-ID"/>
        </w:rPr>
        <w:t xml:space="preserve"> </w:t>
      </w:r>
      <w:r w:rsidR="005F7846">
        <w:rPr>
          <w:rStyle w:val="FootnoteReference"/>
          <w:rFonts w:asciiTheme="minorHAnsi" w:hAnsiTheme="minorHAnsi" w:cstheme="minorHAnsi"/>
          <w:sz w:val="24"/>
          <w:szCs w:val="24"/>
        </w:rPr>
        <w:footnoteReference w:id="24"/>
      </w:r>
      <w:r w:rsidRPr="00026D20">
        <w:rPr>
          <w:rFonts w:asciiTheme="minorHAnsi" w:hAnsiTheme="minorHAnsi" w:cstheme="minorHAnsi"/>
          <w:sz w:val="24"/>
          <w:szCs w:val="24"/>
        </w:rPr>
        <w:t>.</w:t>
      </w:r>
      <w:r w:rsidRPr="00026D20">
        <w:rPr>
          <w:rFonts w:asciiTheme="minorHAnsi" w:hAnsiTheme="minorHAnsi" w:cstheme="minorHAnsi"/>
          <w:sz w:val="24"/>
          <w:szCs w:val="24"/>
          <w:lang w:val="id-ID" w:eastAsia="id-ID"/>
        </w:rPr>
        <w:t xml:space="preserve"> </w:t>
      </w:r>
      <w:r w:rsidRPr="00026D20">
        <w:rPr>
          <w:rFonts w:asciiTheme="minorHAnsi" w:hAnsiTheme="minorHAnsi" w:cstheme="minorHAnsi"/>
          <w:sz w:val="24"/>
          <w:szCs w:val="24"/>
        </w:rPr>
        <w:t>This study's main goal is to find the Indonesian mining environment restoration regulatory legal policy and analyze it. </w:t>
      </w:r>
    </w:p>
    <w:p w:rsidR="00FB57BE" w:rsidRDefault="00FB57BE" w:rsidP="00FB57BE">
      <w:pPr>
        <w:pStyle w:val="ListParagraph"/>
        <w:spacing w:after="0" w:line="240" w:lineRule="auto"/>
        <w:ind w:left="0"/>
        <w:contextualSpacing w:val="0"/>
        <w:jc w:val="both"/>
        <w:rPr>
          <w:rFonts w:asciiTheme="minorHAnsi" w:hAnsiTheme="minorHAnsi" w:cstheme="minorHAnsi"/>
          <w:sz w:val="24"/>
          <w:szCs w:val="24"/>
        </w:rPr>
      </w:pPr>
    </w:p>
    <w:p w:rsidR="00FB57BE" w:rsidRPr="00FB57BE" w:rsidRDefault="00FB57BE" w:rsidP="00FB57BE">
      <w:pPr>
        <w:pStyle w:val="Heading1"/>
        <w:numPr>
          <w:ilvl w:val="0"/>
          <w:numId w:val="17"/>
        </w:numPr>
        <w:tabs>
          <w:tab w:val="left" w:pos="426"/>
        </w:tabs>
        <w:adjustRightInd w:val="0"/>
        <w:snapToGrid w:val="0"/>
        <w:spacing w:before="0" w:after="0" w:line="240" w:lineRule="auto"/>
        <w:ind w:leftChars="12" w:left="141" w:hangingChars="41" w:hanging="115"/>
        <w:jc w:val="both"/>
        <w:rPr>
          <w:rFonts w:asciiTheme="minorHAnsi" w:eastAsia="SimSun" w:hAnsiTheme="minorHAnsi" w:cstheme="minorHAnsi"/>
          <w:b/>
          <w:bCs/>
        </w:rPr>
      </w:pPr>
      <w:r w:rsidRPr="00FB57BE">
        <w:rPr>
          <w:rFonts w:asciiTheme="minorHAnsi" w:eastAsia="SimSun" w:hAnsiTheme="minorHAnsi" w:cstheme="minorHAnsi"/>
          <w:b/>
          <w:bCs/>
        </w:rPr>
        <w:t>Results and Discussion</w:t>
      </w:r>
    </w:p>
    <w:p w:rsidR="00FB57BE" w:rsidRPr="00026D20" w:rsidRDefault="00FB57BE" w:rsidP="00FB57BE">
      <w:pPr>
        <w:pStyle w:val="HRPUB-2ndSubhead"/>
        <w:spacing w:before="0"/>
        <w:ind w:left="434" w:hanging="434"/>
        <w:jc w:val="both"/>
        <w:rPr>
          <w:rFonts w:asciiTheme="minorHAnsi" w:eastAsia="SimSun" w:hAnsiTheme="minorHAnsi" w:cstheme="minorHAnsi"/>
          <w:sz w:val="24"/>
          <w:szCs w:val="24"/>
        </w:rPr>
      </w:pPr>
      <w:r w:rsidRPr="00026D20">
        <w:rPr>
          <w:rFonts w:asciiTheme="minorHAnsi" w:eastAsia="SimSun" w:hAnsiTheme="minorHAnsi" w:cstheme="minorHAnsi"/>
          <w:sz w:val="24"/>
          <w:szCs w:val="24"/>
        </w:rPr>
        <w:t>2.1</w:t>
      </w:r>
      <w:r w:rsidRPr="00FB57BE">
        <w:rPr>
          <w:rFonts w:asciiTheme="minorHAnsi" w:eastAsia="SimSun" w:hAnsiTheme="minorHAnsi" w:cstheme="minorHAnsi"/>
          <w:sz w:val="24"/>
          <w:szCs w:val="24"/>
        </w:rPr>
        <w:t>.</w:t>
      </w:r>
      <w:r>
        <w:rPr>
          <w:rFonts w:asciiTheme="minorHAnsi" w:eastAsia="SimSun" w:hAnsiTheme="minorHAnsi" w:cstheme="minorHAnsi"/>
          <w:sz w:val="24"/>
          <w:szCs w:val="24"/>
        </w:rPr>
        <w:t xml:space="preserve"> </w:t>
      </w:r>
      <w:r w:rsidRPr="00FB57BE">
        <w:rPr>
          <w:rFonts w:asciiTheme="minorHAnsi" w:hAnsiTheme="minorHAnsi" w:cstheme="minorHAnsi"/>
          <w:sz w:val="24"/>
          <w:szCs w:val="24"/>
        </w:rPr>
        <w:t>The Legal Policy for Environmental Restoration in the Mining Sector</w:t>
      </w:r>
      <w:r w:rsidRPr="00FB57BE">
        <w:rPr>
          <w:rFonts w:asciiTheme="minorHAnsi" w:hAnsiTheme="minorHAnsi" w:cstheme="minorHAnsi"/>
          <w:sz w:val="24"/>
          <w:szCs w:val="24"/>
        </w:rPr>
        <w:t xml:space="preserve"> </w:t>
      </w:r>
      <w:r w:rsidRPr="00FB57BE">
        <w:rPr>
          <w:rFonts w:asciiTheme="minorHAnsi" w:eastAsia="SimSun" w:hAnsiTheme="minorHAnsi" w:cstheme="minorHAnsi"/>
          <w:sz w:val="24"/>
          <w:szCs w:val="24"/>
        </w:rPr>
        <w:t>Based on Protected Indigenous Community</w:t>
      </w:r>
    </w:p>
    <w:p w:rsidR="00FB57BE" w:rsidRDefault="00FB57BE" w:rsidP="00FB57BE">
      <w:pPr>
        <w:spacing w:after="0" w:line="240" w:lineRule="auto"/>
        <w:contextualSpacing/>
        <w:jc w:val="both"/>
        <w:rPr>
          <w:rFonts w:asciiTheme="minorHAnsi" w:eastAsia="Times New Roman" w:hAnsiTheme="minorHAnsi" w:cstheme="minorHAnsi"/>
          <w:b/>
          <w:caps/>
          <w:color w:val="000000"/>
          <w:sz w:val="24"/>
          <w:szCs w:val="24"/>
          <w:lang w:eastAsia="id-ID"/>
        </w:rPr>
      </w:pPr>
      <w:r w:rsidRPr="00026D20">
        <w:rPr>
          <w:rFonts w:asciiTheme="minorHAnsi" w:hAnsiTheme="minorHAnsi" w:cstheme="minorHAnsi"/>
          <w:sz w:val="24"/>
          <w:szCs w:val="24"/>
        </w:rPr>
        <w:t xml:space="preserve">Because the law is a way to control how people act so that the goals of national development, such as a fair society, can be reached, and because the state is required to carry out national law development, a law must start with planning and end with </w:t>
      </w:r>
      <w:r w:rsidRPr="00026D20">
        <w:rPr>
          <w:rFonts w:asciiTheme="minorHAnsi" w:hAnsiTheme="minorHAnsi" w:cstheme="minorHAnsi"/>
          <w:sz w:val="24"/>
          <w:szCs w:val="24"/>
        </w:rPr>
        <w:lastRenderedPageBreak/>
        <w:t>promulgation to be done right</w:t>
      </w:r>
      <w:r w:rsidRPr="00026D20">
        <w:rPr>
          <w:rFonts w:asciiTheme="minorHAnsi" w:eastAsia="Times New Roman" w:hAnsiTheme="minorHAnsi" w:cstheme="minorHAnsi"/>
          <w:bCs/>
          <w:color w:val="000000"/>
          <w:sz w:val="24"/>
          <w:szCs w:val="24"/>
          <w:lang w:eastAsia="id-ID"/>
        </w:rPr>
        <w:t xml:space="preserve"> </w:t>
      </w:r>
      <w:r w:rsidR="005F7846">
        <w:rPr>
          <w:rStyle w:val="FootnoteReference"/>
          <w:rFonts w:asciiTheme="minorHAnsi" w:hAnsiTheme="minorHAnsi" w:cstheme="minorHAnsi"/>
          <w:sz w:val="24"/>
          <w:szCs w:val="24"/>
        </w:rPr>
        <w:footnoteReference w:id="25"/>
      </w:r>
      <w:r w:rsidRPr="00026D20">
        <w:rPr>
          <w:rFonts w:asciiTheme="minorHAnsi" w:hAnsiTheme="minorHAnsi" w:cstheme="minorHAnsi"/>
          <w:sz w:val="24"/>
          <w:szCs w:val="24"/>
        </w:rPr>
        <w:t>.</w:t>
      </w:r>
      <w:r w:rsidRPr="00026D20">
        <w:rPr>
          <w:rFonts w:asciiTheme="minorHAnsi" w:eastAsia="Times New Roman" w:hAnsiTheme="minorHAnsi" w:cstheme="minorHAnsi"/>
          <w:bCs/>
          <w:color w:val="000000"/>
          <w:sz w:val="24"/>
          <w:szCs w:val="24"/>
          <w:lang w:val="id-ID" w:eastAsia="id-ID"/>
        </w:rPr>
        <w:t xml:space="preserve"> In the supervision of businesses, stakeholders play an important role, resulting in corporate governance </w:t>
      </w:r>
      <w:r w:rsidR="005F7846">
        <w:rPr>
          <w:rStyle w:val="FootnoteReference"/>
          <w:rFonts w:asciiTheme="minorHAnsi" w:hAnsiTheme="minorHAnsi" w:cstheme="minorHAnsi"/>
          <w:sz w:val="24"/>
          <w:szCs w:val="24"/>
        </w:rPr>
        <w:footnoteReference w:id="26"/>
      </w:r>
      <w:r w:rsidRPr="00026D20">
        <w:rPr>
          <w:rFonts w:asciiTheme="minorHAnsi" w:hAnsiTheme="minorHAnsi" w:cstheme="minorHAnsi"/>
          <w:sz w:val="24"/>
          <w:szCs w:val="24"/>
        </w:rPr>
        <w:t>.</w:t>
      </w:r>
      <w:r w:rsidRPr="00026D20">
        <w:rPr>
          <w:rFonts w:asciiTheme="minorHAnsi" w:eastAsia="Times New Roman" w:hAnsiTheme="minorHAnsi" w:cstheme="minorHAnsi"/>
          <w:bCs/>
          <w:color w:val="000000"/>
          <w:sz w:val="24"/>
          <w:szCs w:val="24"/>
          <w:lang w:val="id-ID" w:eastAsia="id-ID"/>
        </w:rPr>
        <w:t xml:space="preserve"> Ecosystem management is a scientific approach to environmental management that focuses on the basic structures, functions, processes, and interactions of species with their environment. This method's primary objective and benchmark is ecosystem-based management that is effective in specific regional locations. Utilizing a regional environmental management plan and</w:t>
      </w:r>
      <w:r w:rsidRPr="00026D20">
        <w:rPr>
          <w:rFonts w:asciiTheme="minorHAnsi" w:eastAsia="Times New Roman" w:hAnsiTheme="minorHAnsi" w:cstheme="minorHAnsi"/>
          <w:bCs/>
          <w:color w:val="000000"/>
          <w:sz w:val="24"/>
          <w:szCs w:val="24"/>
          <w:lang w:eastAsia="id-ID"/>
        </w:rPr>
        <w:t xml:space="preserve"> Strategic Environmental Studies</w:t>
      </w:r>
      <w:r w:rsidRPr="00026D20">
        <w:rPr>
          <w:rFonts w:asciiTheme="minorHAnsi" w:eastAsia="Times New Roman" w:hAnsiTheme="minorHAnsi" w:cstheme="minorHAnsi"/>
          <w:bCs/>
          <w:color w:val="000000"/>
          <w:sz w:val="24"/>
          <w:szCs w:val="24"/>
          <w:lang w:val="id-ID" w:eastAsia="id-ID"/>
        </w:rPr>
        <w:t xml:space="preserve"> can accomplish this. The obligation to exercise caution is also reflected in the requirements that exploration contract applicants must meet. Prior to the commencement of exploration, the contract applicant must submit a preliminary assessment of how the proposed exploration activity may impact the environment</w:t>
      </w:r>
      <w:r w:rsidRPr="00026D20">
        <w:rPr>
          <w:rFonts w:asciiTheme="minorHAnsi" w:eastAsia="Times New Roman" w:hAnsiTheme="minorHAnsi" w:cstheme="minorHAnsi"/>
          <w:bCs/>
          <w:color w:val="000000"/>
          <w:sz w:val="24"/>
          <w:szCs w:val="24"/>
          <w:lang w:eastAsia="id-ID"/>
        </w:rPr>
        <w:t>.</w:t>
      </w:r>
    </w:p>
    <w:p w:rsidR="00FB57BE" w:rsidRDefault="00FB57BE" w:rsidP="00FB57BE">
      <w:pPr>
        <w:spacing w:after="0" w:line="240" w:lineRule="auto"/>
        <w:contextualSpacing/>
        <w:jc w:val="both"/>
        <w:rPr>
          <w:rFonts w:asciiTheme="minorHAnsi" w:eastAsia="Times New Roman" w:hAnsiTheme="minorHAnsi" w:cstheme="minorHAnsi"/>
          <w:b/>
          <w:caps/>
          <w:color w:val="000000"/>
          <w:sz w:val="24"/>
          <w:szCs w:val="24"/>
          <w:lang w:eastAsia="id-ID"/>
        </w:rPr>
      </w:pPr>
      <w:r w:rsidRPr="00026D20">
        <w:rPr>
          <w:rFonts w:asciiTheme="minorHAnsi" w:hAnsiTheme="minorHAnsi" w:cstheme="minorHAnsi"/>
          <w:sz w:val="24"/>
          <w:szCs w:val="24"/>
        </w:rPr>
        <w:t>The resolution of environmental cases has not been environmentally friendly. The judge hasn't thought about how the victims' actions might affect the environment. He hasn't taken an ecosystem-based approach, and he hasn't planned for activities that might pollute or damage the environment to start </w:t>
      </w:r>
      <w:r w:rsidR="005F7846">
        <w:rPr>
          <w:rStyle w:val="FootnoteReference"/>
          <w:rFonts w:asciiTheme="minorHAnsi" w:hAnsiTheme="minorHAnsi" w:cstheme="minorHAnsi"/>
          <w:sz w:val="24"/>
          <w:szCs w:val="24"/>
        </w:rPr>
        <w:footnoteReference w:id="27"/>
      </w:r>
      <w:r w:rsidRPr="00026D20">
        <w:rPr>
          <w:rFonts w:asciiTheme="minorHAnsi" w:hAnsiTheme="minorHAnsi" w:cstheme="minorHAnsi"/>
          <w:sz w:val="24"/>
          <w:szCs w:val="24"/>
        </w:rPr>
        <w:t>.</w:t>
      </w:r>
      <w:r w:rsidRPr="00026D20">
        <w:rPr>
          <w:rFonts w:asciiTheme="minorHAnsi" w:eastAsia="Times New Roman" w:hAnsiTheme="minorHAnsi" w:cstheme="minorHAnsi"/>
          <w:bCs/>
          <w:color w:val="000000"/>
          <w:sz w:val="24"/>
          <w:szCs w:val="24"/>
          <w:lang w:val="id-ID" w:eastAsia="id-ID"/>
        </w:rPr>
        <w:t xml:space="preserve"> In order to improve environmental conditions, there should be campaigns to increase environmental awareness among numerous stakeholders. Numerous businesses and activities that produce waste during the manufacturing process have undeniably negative environmental effects. The extraction of natural resources is always accompanied by a deterioration of the environment. Obviously, this is extremely alarming if corrective action is not taken immediately </w:t>
      </w:r>
      <w:r w:rsidR="005F7846">
        <w:rPr>
          <w:rStyle w:val="FootnoteReference"/>
          <w:rFonts w:asciiTheme="minorHAnsi" w:hAnsiTheme="minorHAnsi" w:cstheme="minorHAnsi"/>
          <w:sz w:val="24"/>
          <w:szCs w:val="24"/>
        </w:rPr>
        <w:footnoteReference w:id="28"/>
      </w:r>
      <w:r w:rsidRPr="00026D20">
        <w:rPr>
          <w:rFonts w:asciiTheme="minorHAnsi" w:hAnsiTheme="minorHAnsi" w:cstheme="minorHAnsi"/>
          <w:sz w:val="24"/>
          <w:szCs w:val="24"/>
        </w:rPr>
        <w:t xml:space="preserve">. Law No. 32 of 2009 on the Protection and Management of the Environment says that natural resources and environmental functions must work together in harmony and balance </w:t>
      </w:r>
      <w:r w:rsidR="005F7846">
        <w:rPr>
          <w:rStyle w:val="FootnoteReference"/>
          <w:rFonts w:asciiTheme="minorHAnsi" w:hAnsiTheme="minorHAnsi" w:cstheme="minorHAnsi"/>
          <w:sz w:val="24"/>
          <w:szCs w:val="24"/>
        </w:rPr>
        <w:footnoteReference w:id="29"/>
      </w:r>
      <w:r w:rsidRPr="00026D20">
        <w:rPr>
          <w:rFonts w:asciiTheme="minorHAnsi" w:hAnsiTheme="minorHAnsi" w:cstheme="minorHAnsi"/>
          <w:sz w:val="24"/>
          <w:szCs w:val="24"/>
        </w:rPr>
        <w:t>.</w:t>
      </w:r>
      <w:r w:rsidRPr="00026D20">
        <w:rPr>
          <w:rFonts w:asciiTheme="minorHAnsi" w:eastAsia="Times New Roman" w:hAnsiTheme="minorHAnsi" w:cstheme="minorHAnsi"/>
          <w:bCs/>
          <w:color w:val="000000"/>
          <w:sz w:val="24"/>
          <w:szCs w:val="24"/>
          <w:lang w:val="id-ID" w:eastAsia="id-ID"/>
        </w:rPr>
        <w:t xml:space="preserve"> </w:t>
      </w:r>
      <w:r w:rsidRPr="00026D20">
        <w:rPr>
          <w:rFonts w:asciiTheme="minorHAnsi" w:hAnsiTheme="minorHAnsi" w:cstheme="minorHAnsi"/>
          <w:sz w:val="24"/>
          <w:szCs w:val="24"/>
        </w:rPr>
        <w:t xml:space="preserve">Law Number 32 of 2009 on Environmental Protection and Management establishes more comprehensive rules than the previous law as a result of the refinement of prior environmental management legislation. As a result of this agreement, a strategy, plan, and program based on a development obligation for environmental preservation and aimed at achieving sustainable development must be developed. Environmental problems are caused by development that doesn't take into account ecological balance. This leads to environmental degradation and pollution </w:t>
      </w:r>
      <w:r w:rsidR="005F7846">
        <w:rPr>
          <w:rStyle w:val="FootnoteReference"/>
          <w:rFonts w:asciiTheme="minorHAnsi" w:hAnsiTheme="minorHAnsi" w:cstheme="minorHAnsi"/>
          <w:sz w:val="24"/>
          <w:szCs w:val="24"/>
        </w:rPr>
        <w:footnoteReference w:id="30"/>
      </w:r>
      <w:r w:rsidRPr="00026D20">
        <w:rPr>
          <w:rFonts w:asciiTheme="minorHAnsi" w:eastAsia="Times New Roman" w:hAnsiTheme="minorHAnsi" w:cstheme="minorHAnsi"/>
          <w:bCs/>
          <w:color w:val="000000"/>
          <w:sz w:val="24"/>
          <w:szCs w:val="24"/>
          <w:lang w:eastAsia="id-ID"/>
        </w:rPr>
        <w:t>. Although the regulation regarding aspects of protection and environmental management is adequate on paper, in practice, aspects of environmental protection and management life are one of the triggers for conflicts, both vertical and horizontal.</w:t>
      </w:r>
    </w:p>
    <w:p w:rsidR="00FB57BE" w:rsidRDefault="00FB57BE" w:rsidP="00FB57BE">
      <w:pPr>
        <w:spacing w:after="0" w:line="240" w:lineRule="auto"/>
        <w:contextualSpacing/>
        <w:jc w:val="both"/>
        <w:rPr>
          <w:rFonts w:asciiTheme="minorHAnsi" w:eastAsia="Times New Roman" w:hAnsiTheme="minorHAnsi" w:cstheme="minorHAnsi"/>
          <w:b/>
          <w:caps/>
          <w:color w:val="000000"/>
          <w:sz w:val="24"/>
          <w:szCs w:val="24"/>
          <w:lang w:eastAsia="id-ID"/>
        </w:rPr>
      </w:pPr>
      <w:r w:rsidRPr="00026D20">
        <w:rPr>
          <w:rFonts w:asciiTheme="minorHAnsi" w:eastAsia="Times New Roman" w:hAnsiTheme="minorHAnsi" w:cstheme="minorHAnsi"/>
          <w:bCs/>
          <w:color w:val="000000"/>
          <w:sz w:val="24"/>
          <w:szCs w:val="24"/>
          <w:lang w:eastAsia="id-ID"/>
        </w:rPr>
        <w:lastRenderedPageBreak/>
        <w:t>Disputes arising from environmental protection and management, among other things, are caused by the mineral and coal industries lack the necessary environmental protection and management documents. In this case, the miners do not only lack environmental protection and management documents</w:t>
      </w:r>
      <w:r w:rsidR="005F7846">
        <w:rPr>
          <w:rStyle w:val="FootnoteReference"/>
          <w:rFonts w:asciiTheme="minorHAnsi" w:eastAsia="Times New Roman" w:hAnsiTheme="minorHAnsi" w:cstheme="minorHAnsi"/>
          <w:bCs/>
          <w:color w:val="000000"/>
          <w:sz w:val="24"/>
          <w:szCs w:val="24"/>
          <w:lang w:eastAsia="id-ID"/>
        </w:rPr>
        <w:footnoteReference w:id="31"/>
      </w:r>
      <w:r w:rsidRPr="00026D20">
        <w:rPr>
          <w:rFonts w:asciiTheme="minorHAnsi" w:eastAsia="Times New Roman" w:hAnsiTheme="minorHAnsi" w:cstheme="minorHAnsi"/>
          <w:bCs/>
          <w:color w:val="000000"/>
          <w:sz w:val="24"/>
          <w:szCs w:val="24"/>
          <w:lang w:eastAsia="id-ID"/>
        </w:rPr>
        <w:t>, but they also lack mining permits, as well as Mining Business License (IUP), Special Mining Business License (IUPK), and People's Mining Permit (IPR) ownership. Furthermore, mining actors have required living environment protection and management documents, but the manufacturing of documents is materially flawed. Manipulation of involvement occurs Environmental impact analysis in the preparation of Environmental impact analysis in these cases.</w:t>
      </w:r>
      <w:r w:rsidRPr="00026D20">
        <w:rPr>
          <w:rFonts w:asciiTheme="minorHAnsi" w:hAnsiTheme="minorHAnsi" w:cstheme="minorHAnsi"/>
          <w:sz w:val="24"/>
          <w:szCs w:val="24"/>
        </w:rPr>
        <w:t xml:space="preserve"> </w:t>
      </w:r>
      <w:r w:rsidRPr="00026D20">
        <w:rPr>
          <w:rFonts w:asciiTheme="minorHAnsi" w:eastAsia="Times New Roman" w:hAnsiTheme="minorHAnsi" w:cstheme="minorHAnsi"/>
          <w:bCs/>
          <w:color w:val="000000"/>
          <w:sz w:val="24"/>
          <w:szCs w:val="24"/>
          <w:lang w:eastAsia="id-ID"/>
        </w:rPr>
        <w:t xml:space="preserve">There are also business activities that are in accordance with all provisions of laws and regulations, but their implementation has environmental consequences that have a noticeable impact on the comfort of the people around the mining </w:t>
      </w:r>
      <w:r w:rsidR="005F7846">
        <w:rPr>
          <w:rStyle w:val="FootnoteReference"/>
          <w:rFonts w:asciiTheme="minorHAnsi" w:eastAsia="Times New Roman" w:hAnsiTheme="minorHAnsi" w:cstheme="minorHAnsi"/>
          <w:bCs/>
          <w:color w:val="000000"/>
          <w:sz w:val="24"/>
          <w:szCs w:val="24"/>
          <w:lang w:eastAsia="id-ID"/>
        </w:rPr>
        <w:footnoteReference w:id="32"/>
      </w:r>
      <w:r w:rsidRPr="00026D20">
        <w:rPr>
          <w:rFonts w:asciiTheme="minorHAnsi" w:eastAsia="Times New Roman" w:hAnsiTheme="minorHAnsi" w:cstheme="minorHAnsi"/>
          <w:bCs/>
          <w:color w:val="000000"/>
          <w:sz w:val="24"/>
          <w:szCs w:val="24"/>
          <w:lang w:eastAsia="id-ID"/>
        </w:rPr>
        <w:t>.</w:t>
      </w:r>
    </w:p>
    <w:p w:rsidR="00FB57BE" w:rsidRPr="00FB57BE" w:rsidRDefault="00FB57BE" w:rsidP="00FB57BE">
      <w:pPr>
        <w:spacing w:after="0" w:line="240" w:lineRule="auto"/>
        <w:contextualSpacing/>
        <w:jc w:val="both"/>
        <w:rPr>
          <w:rFonts w:asciiTheme="minorHAnsi" w:eastAsia="Times New Roman" w:hAnsiTheme="minorHAnsi" w:cstheme="minorHAnsi"/>
          <w:b/>
          <w:caps/>
          <w:color w:val="000000"/>
          <w:sz w:val="24"/>
          <w:szCs w:val="24"/>
          <w:lang w:eastAsia="id-ID"/>
        </w:rPr>
      </w:pPr>
      <w:r w:rsidRPr="00026D20">
        <w:rPr>
          <w:rFonts w:asciiTheme="minorHAnsi" w:hAnsiTheme="minorHAnsi" w:cstheme="minorHAnsi"/>
          <w:sz w:val="24"/>
          <w:szCs w:val="24"/>
        </w:rPr>
        <w:t>Sustainable development must be incorporated into environmentally responsible mining management. When wealth and the welfare of the people are considered, natural resource management is sustainable. Moreover, problems arise from the institutional aspect and the implementation of laws and regulations. Conflicts and disagreements hurt the community, the environment, and the quality of natural resources </w:t>
      </w:r>
      <w:r w:rsidR="005F7846">
        <w:rPr>
          <w:rStyle w:val="FootnoteReference"/>
          <w:rFonts w:asciiTheme="minorHAnsi" w:hAnsiTheme="minorHAnsi" w:cstheme="minorHAnsi"/>
          <w:sz w:val="24"/>
          <w:szCs w:val="24"/>
        </w:rPr>
        <w:footnoteReference w:id="33"/>
      </w:r>
      <w:r w:rsidRPr="00026D20">
        <w:rPr>
          <w:rFonts w:asciiTheme="minorHAnsi" w:hAnsiTheme="minorHAnsi" w:cstheme="minorHAnsi"/>
          <w:sz w:val="24"/>
          <w:szCs w:val="24"/>
        </w:rPr>
        <w:t>.</w:t>
      </w:r>
      <w:r w:rsidRPr="00026D20">
        <w:rPr>
          <w:rFonts w:asciiTheme="minorHAnsi" w:eastAsia="Times New Roman" w:hAnsiTheme="minorHAnsi" w:cstheme="minorHAnsi"/>
          <w:bCs/>
          <w:color w:val="000000"/>
          <w:sz w:val="24"/>
          <w:szCs w:val="24"/>
          <w:lang w:val="id-ID" w:eastAsia="id-ID"/>
        </w:rPr>
        <w:t xml:space="preserve"> The ecological and environmental harm caused by mining is irreparable on a small scale </w:t>
      </w:r>
      <w:r w:rsidR="005F7846">
        <w:rPr>
          <w:rStyle w:val="FootnoteReference"/>
          <w:rFonts w:asciiTheme="minorHAnsi" w:hAnsiTheme="minorHAnsi" w:cstheme="minorHAnsi"/>
          <w:sz w:val="24"/>
          <w:szCs w:val="24"/>
        </w:rPr>
        <w:footnoteReference w:id="34"/>
      </w:r>
      <w:r w:rsidRPr="00026D20">
        <w:rPr>
          <w:rFonts w:asciiTheme="minorHAnsi" w:hAnsiTheme="minorHAnsi" w:cstheme="minorHAnsi"/>
          <w:sz w:val="24"/>
          <w:szCs w:val="24"/>
        </w:rPr>
        <w:t xml:space="preserve">. Ecological restoration efforts can be expedited if the effects of mining activities are not adequately addressed. It is hard to do a negative impact assessment in a timely and effective way so that a good decision can be made about ecological restoration </w:t>
      </w:r>
      <w:r w:rsidR="005F7846">
        <w:rPr>
          <w:rStyle w:val="FootnoteReference"/>
          <w:rFonts w:asciiTheme="minorHAnsi" w:hAnsiTheme="minorHAnsi" w:cstheme="minorHAnsi"/>
          <w:sz w:val="24"/>
          <w:szCs w:val="24"/>
        </w:rPr>
        <w:footnoteReference w:id="35"/>
      </w:r>
      <w:r w:rsidRPr="00026D20">
        <w:rPr>
          <w:rFonts w:asciiTheme="minorHAnsi" w:hAnsiTheme="minorHAnsi" w:cstheme="minorHAnsi"/>
          <w:sz w:val="24"/>
          <w:szCs w:val="24"/>
        </w:rPr>
        <w:t xml:space="preserve">. Global studies of environmental damage assessment are conducted to determine the intensity and spatial distribution of pollution, human activities, and geological hazards </w:t>
      </w:r>
      <w:r w:rsidR="005F7846">
        <w:rPr>
          <w:rStyle w:val="FootnoteReference"/>
          <w:rFonts w:asciiTheme="minorHAnsi" w:hAnsiTheme="minorHAnsi" w:cstheme="minorHAnsi"/>
          <w:sz w:val="24"/>
          <w:szCs w:val="24"/>
        </w:rPr>
        <w:footnoteReference w:id="36"/>
      </w:r>
      <w:r w:rsidRPr="00026D20">
        <w:rPr>
          <w:rFonts w:asciiTheme="minorHAnsi" w:hAnsiTheme="minorHAnsi" w:cstheme="minorHAnsi"/>
          <w:sz w:val="24"/>
          <w:szCs w:val="24"/>
        </w:rPr>
        <w:t>.</w:t>
      </w:r>
      <w:r w:rsidRPr="00026D20">
        <w:rPr>
          <w:rFonts w:asciiTheme="minorHAnsi" w:hAnsiTheme="minorHAnsi" w:cstheme="minorHAnsi"/>
          <w:sz w:val="24"/>
          <w:szCs w:val="24"/>
          <w:lang w:val="id-ID"/>
        </w:rPr>
        <w:t xml:space="preserve"> In mining regions, the intensity of ecological and environmental damage varies spatially. Several factors, such as geological hazards and land use types, have a cumulative effect on it. The rate of environmental restoration and repair is slower than the rate of damage and pollution caused by mining activities </w:t>
      </w:r>
      <w:r w:rsidR="005F7846">
        <w:rPr>
          <w:rStyle w:val="FootnoteReference"/>
          <w:rFonts w:asciiTheme="minorHAnsi" w:hAnsiTheme="minorHAnsi" w:cstheme="minorHAnsi"/>
          <w:sz w:val="24"/>
          <w:szCs w:val="24"/>
        </w:rPr>
        <w:footnoteReference w:id="37"/>
      </w:r>
      <w:r w:rsidRPr="00026D20">
        <w:rPr>
          <w:rFonts w:asciiTheme="minorHAnsi" w:hAnsiTheme="minorHAnsi" w:cstheme="minorHAnsi"/>
          <w:sz w:val="24"/>
          <w:szCs w:val="24"/>
        </w:rPr>
        <w:t>. Damage to mining activities requires recovery costs as stated in the following table.</w:t>
      </w:r>
    </w:p>
    <w:p w:rsidR="00FB57BE" w:rsidRPr="00026D20" w:rsidRDefault="00FB57BE" w:rsidP="00FB57BE">
      <w:pPr>
        <w:ind w:firstLine="284"/>
        <w:contextualSpacing/>
        <w:rPr>
          <w:rFonts w:asciiTheme="minorHAnsi" w:hAnsiTheme="minorHAnsi" w:cstheme="minorHAnsi"/>
          <w:sz w:val="24"/>
          <w:szCs w:val="24"/>
        </w:rPr>
      </w:pPr>
    </w:p>
    <w:p w:rsidR="00FB57BE" w:rsidRPr="00026D20" w:rsidRDefault="00FB57BE" w:rsidP="00FB57BE">
      <w:pPr>
        <w:spacing w:after="240"/>
        <w:contextualSpacing/>
        <w:jc w:val="center"/>
        <w:rPr>
          <w:rFonts w:asciiTheme="minorHAnsi" w:hAnsiTheme="minorHAnsi" w:cstheme="minorHAnsi"/>
          <w:sz w:val="24"/>
          <w:szCs w:val="24"/>
        </w:rPr>
      </w:pPr>
      <w:r w:rsidRPr="00026D20">
        <w:rPr>
          <w:rFonts w:asciiTheme="minorHAnsi" w:hAnsiTheme="minorHAnsi" w:cstheme="minorHAnsi"/>
          <w:b/>
          <w:bCs/>
          <w:sz w:val="24"/>
          <w:szCs w:val="24"/>
        </w:rPr>
        <w:t>Table 1.</w:t>
      </w:r>
      <w:r w:rsidRPr="00026D20">
        <w:rPr>
          <w:rFonts w:asciiTheme="minorHAnsi" w:hAnsiTheme="minorHAnsi" w:cstheme="minorHAnsi"/>
          <w:sz w:val="24"/>
          <w:szCs w:val="24"/>
        </w:rPr>
        <w:t xml:space="preserve"> Total cost of environment maintenance by kind of mineral</w:t>
      </w:r>
    </w:p>
    <w:tbl>
      <w:tblPr>
        <w:tblStyle w:val="PlainTable2"/>
        <w:tblW w:w="0" w:type="auto"/>
        <w:tblLook w:val="04A0" w:firstRow="1" w:lastRow="0" w:firstColumn="1" w:lastColumn="0" w:noHBand="0" w:noVBand="1"/>
      </w:tblPr>
      <w:tblGrid>
        <w:gridCol w:w="2117"/>
        <w:gridCol w:w="1596"/>
        <w:gridCol w:w="1597"/>
        <w:gridCol w:w="1597"/>
        <w:gridCol w:w="1597"/>
      </w:tblGrid>
      <w:tr w:rsidR="00FB57BE" w:rsidRPr="00026D20" w:rsidTr="00FB57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1" w:type="dxa"/>
          </w:tcPr>
          <w:p w:rsidR="00FB57BE" w:rsidRPr="00026D20" w:rsidRDefault="00FB57BE" w:rsidP="00294AD3">
            <w:pPr>
              <w:contextualSpacing/>
              <w:rPr>
                <w:rFonts w:asciiTheme="minorHAnsi" w:eastAsia="Times New Roman" w:hAnsiTheme="minorHAnsi" w:cstheme="minorHAnsi"/>
                <w:bCs w:val="0"/>
                <w:color w:val="000000"/>
                <w:sz w:val="24"/>
                <w:szCs w:val="24"/>
                <w:lang w:eastAsia="id-ID"/>
              </w:rPr>
            </w:pPr>
            <w:r w:rsidRPr="00026D20">
              <w:rPr>
                <w:rFonts w:asciiTheme="minorHAnsi" w:eastAsia="Times New Roman" w:hAnsiTheme="minorHAnsi" w:cstheme="minorHAnsi"/>
                <w:bCs w:val="0"/>
                <w:color w:val="000000"/>
                <w:sz w:val="24"/>
                <w:szCs w:val="24"/>
                <w:lang w:eastAsia="id-ID"/>
              </w:rPr>
              <w:t>Types of mining materials/minerals</w:t>
            </w:r>
          </w:p>
        </w:tc>
        <w:tc>
          <w:tcPr>
            <w:tcW w:w="1971" w:type="dxa"/>
          </w:tcPr>
          <w:p w:rsidR="00FB57BE" w:rsidRPr="00026D20" w:rsidRDefault="00FB57BE" w:rsidP="00294AD3">
            <w:pPr>
              <w:contextualSpacing/>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val="0"/>
                <w:color w:val="000000"/>
                <w:sz w:val="24"/>
                <w:szCs w:val="24"/>
                <w:lang w:eastAsia="id-ID"/>
              </w:rPr>
            </w:pPr>
            <w:r w:rsidRPr="00026D20">
              <w:rPr>
                <w:rFonts w:asciiTheme="minorHAnsi" w:eastAsia="Times New Roman" w:hAnsiTheme="minorHAnsi" w:cstheme="minorHAnsi"/>
                <w:bCs w:val="0"/>
                <w:color w:val="000000"/>
                <w:sz w:val="24"/>
                <w:szCs w:val="24"/>
                <w:lang w:eastAsia="id-ID"/>
              </w:rPr>
              <w:t>2017</w:t>
            </w:r>
          </w:p>
        </w:tc>
        <w:tc>
          <w:tcPr>
            <w:tcW w:w="1971" w:type="dxa"/>
          </w:tcPr>
          <w:p w:rsidR="00FB57BE" w:rsidRPr="00026D20" w:rsidRDefault="00FB57BE" w:rsidP="00294AD3">
            <w:pPr>
              <w:contextualSpacing/>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val="0"/>
                <w:color w:val="000000"/>
                <w:sz w:val="24"/>
                <w:szCs w:val="24"/>
                <w:lang w:eastAsia="id-ID"/>
              </w:rPr>
            </w:pPr>
            <w:r w:rsidRPr="00026D20">
              <w:rPr>
                <w:rFonts w:asciiTheme="minorHAnsi" w:eastAsia="Times New Roman" w:hAnsiTheme="minorHAnsi" w:cstheme="minorHAnsi"/>
                <w:bCs w:val="0"/>
                <w:color w:val="000000"/>
                <w:sz w:val="24"/>
                <w:szCs w:val="24"/>
                <w:lang w:eastAsia="id-ID"/>
              </w:rPr>
              <w:t>2018</w:t>
            </w:r>
          </w:p>
        </w:tc>
        <w:tc>
          <w:tcPr>
            <w:tcW w:w="1971" w:type="dxa"/>
          </w:tcPr>
          <w:p w:rsidR="00FB57BE" w:rsidRPr="00026D20" w:rsidRDefault="00FB57BE" w:rsidP="00294AD3">
            <w:pPr>
              <w:contextualSpacing/>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val="0"/>
                <w:color w:val="000000"/>
                <w:sz w:val="24"/>
                <w:szCs w:val="24"/>
                <w:lang w:eastAsia="id-ID"/>
              </w:rPr>
            </w:pPr>
            <w:r w:rsidRPr="00026D20">
              <w:rPr>
                <w:rFonts w:asciiTheme="minorHAnsi" w:eastAsia="Times New Roman" w:hAnsiTheme="minorHAnsi" w:cstheme="minorHAnsi"/>
                <w:bCs w:val="0"/>
                <w:color w:val="000000"/>
                <w:sz w:val="24"/>
                <w:szCs w:val="24"/>
                <w:lang w:eastAsia="id-ID"/>
              </w:rPr>
              <w:t>2019</w:t>
            </w:r>
          </w:p>
        </w:tc>
        <w:tc>
          <w:tcPr>
            <w:tcW w:w="1971" w:type="dxa"/>
          </w:tcPr>
          <w:p w:rsidR="00FB57BE" w:rsidRPr="00026D20" w:rsidRDefault="00FB57BE" w:rsidP="00294AD3">
            <w:pPr>
              <w:contextualSpacing/>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val="0"/>
                <w:color w:val="000000"/>
                <w:sz w:val="24"/>
                <w:szCs w:val="24"/>
                <w:lang w:eastAsia="id-ID"/>
              </w:rPr>
            </w:pPr>
            <w:r w:rsidRPr="00026D20">
              <w:rPr>
                <w:rFonts w:asciiTheme="minorHAnsi" w:eastAsia="Times New Roman" w:hAnsiTheme="minorHAnsi" w:cstheme="minorHAnsi"/>
                <w:bCs w:val="0"/>
                <w:color w:val="000000"/>
                <w:sz w:val="24"/>
                <w:szCs w:val="24"/>
                <w:lang w:eastAsia="id-ID"/>
              </w:rPr>
              <w:t>2020</w:t>
            </w:r>
          </w:p>
        </w:tc>
      </w:tr>
      <w:tr w:rsidR="00FB57BE" w:rsidRPr="00026D20" w:rsidTr="00FB57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1" w:type="dxa"/>
          </w:tcPr>
          <w:p w:rsidR="00FB57BE" w:rsidRPr="00026D20" w:rsidRDefault="00FB57BE" w:rsidP="00294AD3">
            <w:pPr>
              <w:contextualSpacing/>
              <w:rPr>
                <w:rFonts w:asciiTheme="minorHAnsi" w:eastAsia="Times New Roman" w:hAnsiTheme="minorHAnsi" w:cstheme="minorHAnsi"/>
                <w:bCs w:val="0"/>
                <w:color w:val="000000"/>
                <w:sz w:val="24"/>
                <w:szCs w:val="24"/>
                <w:lang w:eastAsia="id-ID"/>
              </w:rPr>
            </w:pPr>
            <w:r w:rsidRPr="00026D20">
              <w:rPr>
                <w:rFonts w:asciiTheme="minorHAnsi" w:eastAsia="Times New Roman" w:hAnsiTheme="minorHAnsi" w:cstheme="minorHAnsi"/>
                <w:bCs w:val="0"/>
                <w:color w:val="000000"/>
                <w:sz w:val="24"/>
                <w:szCs w:val="24"/>
                <w:lang w:eastAsia="id-ID"/>
              </w:rPr>
              <w:t>Coal</w:t>
            </w:r>
          </w:p>
        </w:tc>
        <w:tc>
          <w:tcPr>
            <w:tcW w:w="1971" w:type="dxa"/>
          </w:tcPr>
          <w:p w:rsidR="00FB57BE" w:rsidRPr="00026D20" w:rsidRDefault="00FB57BE" w:rsidP="00294AD3">
            <w:pPr>
              <w:contextualSpacing/>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4"/>
                <w:szCs w:val="24"/>
                <w:lang w:val="id-ID" w:eastAsia="id-ID"/>
              </w:rPr>
            </w:pPr>
            <w:r w:rsidRPr="00026D20">
              <w:rPr>
                <w:rFonts w:asciiTheme="minorHAnsi" w:hAnsiTheme="minorHAnsi" w:cstheme="minorHAnsi"/>
                <w:sz w:val="24"/>
                <w:szCs w:val="24"/>
              </w:rPr>
              <w:t>1859112</w:t>
            </w:r>
          </w:p>
        </w:tc>
        <w:tc>
          <w:tcPr>
            <w:tcW w:w="1971" w:type="dxa"/>
          </w:tcPr>
          <w:p w:rsidR="00FB57BE" w:rsidRPr="00026D20" w:rsidRDefault="00FB57BE" w:rsidP="00294AD3">
            <w:pPr>
              <w:contextualSpacing/>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4"/>
                <w:szCs w:val="24"/>
                <w:lang w:val="id-ID" w:eastAsia="id-ID"/>
              </w:rPr>
            </w:pPr>
            <w:r w:rsidRPr="00026D20">
              <w:rPr>
                <w:rFonts w:asciiTheme="minorHAnsi" w:eastAsia="Times New Roman" w:hAnsiTheme="minorHAnsi" w:cstheme="minorHAnsi"/>
                <w:bCs/>
                <w:color w:val="000000"/>
                <w:sz w:val="24"/>
                <w:szCs w:val="24"/>
                <w:lang w:val="id-ID" w:eastAsia="id-ID"/>
              </w:rPr>
              <w:t>1122114</w:t>
            </w:r>
          </w:p>
        </w:tc>
        <w:tc>
          <w:tcPr>
            <w:tcW w:w="1971" w:type="dxa"/>
          </w:tcPr>
          <w:p w:rsidR="00FB57BE" w:rsidRPr="00026D20" w:rsidRDefault="00FB57BE" w:rsidP="00294AD3">
            <w:pPr>
              <w:contextualSpacing/>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4"/>
                <w:szCs w:val="24"/>
                <w:lang w:val="id-ID" w:eastAsia="id-ID"/>
              </w:rPr>
            </w:pPr>
            <w:r w:rsidRPr="00026D20">
              <w:rPr>
                <w:rFonts w:asciiTheme="minorHAnsi" w:eastAsia="Times New Roman" w:hAnsiTheme="minorHAnsi" w:cstheme="minorHAnsi"/>
                <w:bCs/>
                <w:color w:val="000000"/>
                <w:sz w:val="24"/>
                <w:szCs w:val="24"/>
                <w:lang w:val="id-ID" w:eastAsia="id-ID"/>
              </w:rPr>
              <w:t>3832823</w:t>
            </w:r>
          </w:p>
        </w:tc>
        <w:tc>
          <w:tcPr>
            <w:tcW w:w="1971" w:type="dxa"/>
          </w:tcPr>
          <w:p w:rsidR="00FB57BE" w:rsidRPr="00026D20" w:rsidRDefault="00FB57BE" w:rsidP="00294AD3">
            <w:pPr>
              <w:contextualSpacing/>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4"/>
                <w:szCs w:val="24"/>
                <w:lang w:val="id-ID" w:eastAsia="id-ID"/>
              </w:rPr>
            </w:pPr>
            <w:r w:rsidRPr="00026D20">
              <w:rPr>
                <w:rFonts w:asciiTheme="minorHAnsi" w:eastAsia="Times New Roman" w:hAnsiTheme="minorHAnsi" w:cstheme="minorHAnsi"/>
                <w:bCs/>
                <w:color w:val="000000"/>
                <w:sz w:val="24"/>
                <w:szCs w:val="24"/>
                <w:lang w:val="id-ID" w:eastAsia="id-ID"/>
              </w:rPr>
              <w:t>4434536</w:t>
            </w:r>
          </w:p>
        </w:tc>
      </w:tr>
      <w:tr w:rsidR="00FB57BE" w:rsidRPr="00026D20" w:rsidTr="00FB57BE">
        <w:tc>
          <w:tcPr>
            <w:cnfStyle w:val="001000000000" w:firstRow="0" w:lastRow="0" w:firstColumn="1" w:lastColumn="0" w:oddVBand="0" w:evenVBand="0" w:oddHBand="0" w:evenHBand="0" w:firstRowFirstColumn="0" w:firstRowLastColumn="0" w:lastRowFirstColumn="0" w:lastRowLastColumn="0"/>
            <w:tcW w:w="1971" w:type="dxa"/>
          </w:tcPr>
          <w:p w:rsidR="00FB57BE" w:rsidRPr="00026D20" w:rsidRDefault="00FB57BE" w:rsidP="00294AD3">
            <w:pPr>
              <w:contextualSpacing/>
              <w:rPr>
                <w:rFonts w:asciiTheme="minorHAnsi" w:eastAsia="Times New Roman" w:hAnsiTheme="minorHAnsi" w:cstheme="minorHAnsi"/>
                <w:bCs w:val="0"/>
                <w:color w:val="000000"/>
                <w:sz w:val="24"/>
                <w:szCs w:val="24"/>
                <w:lang w:eastAsia="id-ID"/>
              </w:rPr>
            </w:pPr>
            <w:r w:rsidRPr="00026D20">
              <w:rPr>
                <w:rFonts w:asciiTheme="minorHAnsi" w:eastAsia="Times New Roman" w:hAnsiTheme="minorHAnsi" w:cstheme="minorHAnsi"/>
                <w:bCs w:val="0"/>
                <w:color w:val="000000"/>
                <w:sz w:val="24"/>
                <w:szCs w:val="24"/>
                <w:lang w:eastAsia="id-ID"/>
              </w:rPr>
              <w:t>Bauxite</w:t>
            </w:r>
          </w:p>
        </w:tc>
        <w:tc>
          <w:tcPr>
            <w:tcW w:w="1971" w:type="dxa"/>
          </w:tcPr>
          <w:p w:rsidR="00FB57BE" w:rsidRPr="00026D20" w:rsidRDefault="00FB57BE" w:rsidP="00294AD3">
            <w:pPr>
              <w:contextualSpacing/>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4"/>
                <w:szCs w:val="24"/>
                <w:lang w:val="id-ID" w:eastAsia="id-ID"/>
              </w:rPr>
            </w:pPr>
            <w:r w:rsidRPr="00026D20">
              <w:rPr>
                <w:rFonts w:asciiTheme="minorHAnsi" w:eastAsia="Times New Roman" w:hAnsiTheme="minorHAnsi" w:cstheme="minorHAnsi"/>
                <w:bCs/>
                <w:color w:val="000000"/>
                <w:sz w:val="24"/>
                <w:szCs w:val="24"/>
                <w:lang w:val="id-ID" w:eastAsia="id-ID"/>
              </w:rPr>
              <w:t>5872</w:t>
            </w:r>
          </w:p>
        </w:tc>
        <w:tc>
          <w:tcPr>
            <w:tcW w:w="1971" w:type="dxa"/>
          </w:tcPr>
          <w:p w:rsidR="00FB57BE" w:rsidRPr="00026D20" w:rsidRDefault="00FB57BE" w:rsidP="00294AD3">
            <w:pPr>
              <w:contextualSpacing/>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4"/>
                <w:szCs w:val="24"/>
                <w:lang w:val="id-ID" w:eastAsia="id-ID"/>
              </w:rPr>
            </w:pPr>
            <w:r w:rsidRPr="00026D20">
              <w:rPr>
                <w:rFonts w:asciiTheme="minorHAnsi" w:eastAsia="Times New Roman" w:hAnsiTheme="minorHAnsi" w:cstheme="minorHAnsi"/>
                <w:bCs/>
                <w:color w:val="000000"/>
                <w:sz w:val="24"/>
                <w:szCs w:val="24"/>
                <w:lang w:val="id-ID" w:eastAsia="id-ID"/>
              </w:rPr>
              <w:t>12</w:t>
            </w:r>
            <w:r w:rsidRPr="00026D20">
              <w:rPr>
                <w:rFonts w:asciiTheme="minorHAnsi" w:eastAsia="Times New Roman" w:hAnsiTheme="minorHAnsi" w:cstheme="minorHAnsi"/>
                <w:bCs/>
                <w:color w:val="000000"/>
                <w:sz w:val="24"/>
                <w:szCs w:val="24"/>
                <w:lang w:eastAsia="id-ID"/>
              </w:rPr>
              <w:t>9</w:t>
            </w:r>
            <w:r w:rsidRPr="00026D20">
              <w:rPr>
                <w:rFonts w:asciiTheme="minorHAnsi" w:eastAsia="Times New Roman" w:hAnsiTheme="minorHAnsi" w:cstheme="minorHAnsi"/>
                <w:bCs/>
                <w:color w:val="000000"/>
                <w:sz w:val="24"/>
                <w:szCs w:val="24"/>
                <w:lang w:val="id-ID" w:eastAsia="id-ID"/>
              </w:rPr>
              <w:t>94</w:t>
            </w:r>
          </w:p>
        </w:tc>
        <w:tc>
          <w:tcPr>
            <w:tcW w:w="1971" w:type="dxa"/>
          </w:tcPr>
          <w:p w:rsidR="00FB57BE" w:rsidRPr="00026D20" w:rsidRDefault="00FB57BE" w:rsidP="00294AD3">
            <w:pPr>
              <w:contextualSpacing/>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4"/>
                <w:szCs w:val="24"/>
                <w:lang w:val="id-ID" w:eastAsia="id-ID"/>
              </w:rPr>
            </w:pPr>
            <w:r w:rsidRPr="00026D20">
              <w:rPr>
                <w:rFonts w:asciiTheme="minorHAnsi" w:eastAsia="Times New Roman" w:hAnsiTheme="minorHAnsi" w:cstheme="minorHAnsi"/>
                <w:bCs/>
                <w:color w:val="000000"/>
                <w:sz w:val="24"/>
                <w:szCs w:val="24"/>
                <w:lang w:val="id-ID" w:eastAsia="id-ID"/>
              </w:rPr>
              <w:t>140249</w:t>
            </w:r>
          </w:p>
        </w:tc>
        <w:tc>
          <w:tcPr>
            <w:tcW w:w="1971" w:type="dxa"/>
          </w:tcPr>
          <w:p w:rsidR="00FB57BE" w:rsidRPr="00026D20" w:rsidRDefault="00FB57BE" w:rsidP="00294AD3">
            <w:pPr>
              <w:contextualSpacing/>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4"/>
                <w:szCs w:val="24"/>
                <w:lang w:val="id-ID" w:eastAsia="id-ID"/>
              </w:rPr>
            </w:pPr>
            <w:r w:rsidRPr="00026D20">
              <w:rPr>
                <w:rFonts w:asciiTheme="minorHAnsi" w:eastAsia="Times New Roman" w:hAnsiTheme="minorHAnsi" w:cstheme="minorHAnsi"/>
                <w:bCs/>
                <w:color w:val="000000"/>
                <w:sz w:val="24"/>
                <w:szCs w:val="24"/>
                <w:lang w:val="id-ID" w:eastAsia="id-ID"/>
              </w:rPr>
              <w:t>6280</w:t>
            </w:r>
          </w:p>
        </w:tc>
      </w:tr>
      <w:tr w:rsidR="00FB57BE" w:rsidRPr="00026D20" w:rsidTr="00FB57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1" w:type="dxa"/>
          </w:tcPr>
          <w:p w:rsidR="00FB57BE" w:rsidRPr="00026D20" w:rsidRDefault="00FB57BE" w:rsidP="00294AD3">
            <w:pPr>
              <w:contextualSpacing/>
              <w:rPr>
                <w:rFonts w:asciiTheme="minorHAnsi" w:eastAsia="Times New Roman" w:hAnsiTheme="minorHAnsi" w:cstheme="minorHAnsi"/>
                <w:bCs w:val="0"/>
                <w:color w:val="000000"/>
                <w:sz w:val="24"/>
                <w:szCs w:val="24"/>
                <w:lang w:eastAsia="id-ID"/>
              </w:rPr>
            </w:pPr>
            <w:r w:rsidRPr="00026D20">
              <w:rPr>
                <w:rFonts w:asciiTheme="minorHAnsi" w:eastAsia="Times New Roman" w:hAnsiTheme="minorHAnsi" w:cstheme="minorHAnsi"/>
                <w:bCs w:val="0"/>
                <w:color w:val="000000"/>
                <w:sz w:val="24"/>
                <w:szCs w:val="24"/>
                <w:lang w:eastAsia="id-ID"/>
              </w:rPr>
              <w:t>Nickel Ore</w:t>
            </w:r>
          </w:p>
        </w:tc>
        <w:tc>
          <w:tcPr>
            <w:tcW w:w="1971" w:type="dxa"/>
          </w:tcPr>
          <w:p w:rsidR="00FB57BE" w:rsidRPr="00026D20" w:rsidRDefault="00FB57BE" w:rsidP="00294AD3">
            <w:pPr>
              <w:contextualSpacing/>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4"/>
                <w:szCs w:val="24"/>
                <w:lang w:val="id-ID" w:eastAsia="id-ID"/>
              </w:rPr>
            </w:pPr>
            <w:r w:rsidRPr="00026D20">
              <w:rPr>
                <w:rFonts w:asciiTheme="minorHAnsi" w:eastAsia="Times New Roman" w:hAnsiTheme="minorHAnsi" w:cstheme="minorHAnsi"/>
                <w:bCs/>
                <w:color w:val="000000"/>
                <w:sz w:val="24"/>
                <w:szCs w:val="24"/>
                <w:lang w:val="id-ID" w:eastAsia="id-ID"/>
              </w:rPr>
              <w:t>147610</w:t>
            </w:r>
          </w:p>
        </w:tc>
        <w:tc>
          <w:tcPr>
            <w:tcW w:w="1971" w:type="dxa"/>
          </w:tcPr>
          <w:p w:rsidR="00FB57BE" w:rsidRPr="00026D20" w:rsidRDefault="00FB57BE" w:rsidP="00294AD3">
            <w:pPr>
              <w:contextualSpacing/>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4"/>
                <w:szCs w:val="24"/>
                <w:lang w:val="id-ID" w:eastAsia="id-ID"/>
              </w:rPr>
            </w:pPr>
            <w:r w:rsidRPr="00026D20">
              <w:rPr>
                <w:rFonts w:asciiTheme="minorHAnsi" w:eastAsia="Times New Roman" w:hAnsiTheme="minorHAnsi" w:cstheme="minorHAnsi"/>
                <w:bCs/>
                <w:color w:val="000000"/>
                <w:sz w:val="24"/>
                <w:szCs w:val="24"/>
                <w:lang w:val="id-ID" w:eastAsia="id-ID"/>
              </w:rPr>
              <w:t>104948</w:t>
            </w:r>
          </w:p>
        </w:tc>
        <w:tc>
          <w:tcPr>
            <w:tcW w:w="1971" w:type="dxa"/>
          </w:tcPr>
          <w:p w:rsidR="00FB57BE" w:rsidRPr="00026D20" w:rsidRDefault="00FB57BE" w:rsidP="00294AD3">
            <w:pPr>
              <w:contextualSpacing/>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4"/>
                <w:szCs w:val="24"/>
                <w:lang w:val="id-ID" w:eastAsia="id-ID"/>
              </w:rPr>
            </w:pPr>
            <w:r w:rsidRPr="00026D20">
              <w:rPr>
                <w:rFonts w:asciiTheme="minorHAnsi" w:eastAsia="Times New Roman" w:hAnsiTheme="minorHAnsi" w:cstheme="minorHAnsi"/>
                <w:bCs/>
                <w:color w:val="000000"/>
                <w:sz w:val="24"/>
                <w:szCs w:val="24"/>
                <w:lang w:val="id-ID" w:eastAsia="id-ID"/>
              </w:rPr>
              <w:t>525141</w:t>
            </w:r>
          </w:p>
        </w:tc>
        <w:tc>
          <w:tcPr>
            <w:tcW w:w="1971" w:type="dxa"/>
          </w:tcPr>
          <w:p w:rsidR="00FB57BE" w:rsidRPr="00026D20" w:rsidRDefault="00FB57BE" w:rsidP="00294AD3">
            <w:pPr>
              <w:contextualSpacing/>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4"/>
                <w:szCs w:val="24"/>
                <w:lang w:val="id-ID" w:eastAsia="id-ID"/>
              </w:rPr>
            </w:pPr>
            <w:r w:rsidRPr="00026D20">
              <w:rPr>
                <w:rFonts w:asciiTheme="minorHAnsi" w:eastAsia="Times New Roman" w:hAnsiTheme="minorHAnsi" w:cstheme="minorHAnsi"/>
                <w:bCs/>
                <w:color w:val="000000"/>
                <w:sz w:val="24"/>
                <w:szCs w:val="24"/>
                <w:lang w:val="id-ID" w:eastAsia="id-ID"/>
              </w:rPr>
              <w:t>671722</w:t>
            </w:r>
          </w:p>
        </w:tc>
      </w:tr>
      <w:tr w:rsidR="00FB57BE" w:rsidRPr="00026D20" w:rsidTr="00FB57BE">
        <w:tc>
          <w:tcPr>
            <w:cnfStyle w:val="001000000000" w:firstRow="0" w:lastRow="0" w:firstColumn="1" w:lastColumn="0" w:oddVBand="0" w:evenVBand="0" w:oddHBand="0" w:evenHBand="0" w:firstRowFirstColumn="0" w:firstRowLastColumn="0" w:lastRowFirstColumn="0" w:lastRowLastColumn="0"/>
            <w:tcW w:w="1971" w:type="dxa"/>
          </w:tcPr>
          <w:p w:rsidR="00FB57BE" w:rsidRPr="00026D20" w:rsidRDefault="00FB57BE" w:rsidP="00294AD3">
            <w:pPr>
              <w:contextualSpacing/>
              <w:rPr>
                <w:rFonts w:asciiTheme="minorHAnsi" w:eastAsia="Times New Roman" w:hAnsiTheme="minorHAnsi" w:cstheme="minorHAnsi"/>
                <w:bCs w:val="0"/>
                <w:color w:val="000000"/>
                <w:sz w:val="24"/>
                <w:szCs w:val="24"/>
                <w:lang w:eastAsia="id-ID"/>
              </w:rPr>
            </w:pPr>
            <w:r w:rsidRPr="00026D20">
              <w:rPr>
                <w:rFonts w:asciiTheme="minorHAnsi" w:eastAsia="Times New Roman" w:hAnsiTheme="minorHAnsi" w:cstheme="minorHAnsi"/>
                <w:bCs w:val="0"/>
                <w:color w:val="000000"/>
                <w:sz w:val="24"/>
                <w:szCs w:val="24"/>
                <w:lang w:eastAsia="id-ID"/>
              </w:rPr>
              <w:t>Gold</w:t>
            </w:r>
          </w:p>
        </w:tc>
        <w:tc>
          <w:tcPr>
            <w:tcW w:w="1971" w:type="dxa"/>
          </w:tcPr>
          <w:p w:rsidR="00FB57BE" w:rsidRPr="00026D20" w:rsidRDefault="00FB57BE" w:rsidP="00294AD3">
            <w:pPr>
              <w:contextualSpacing/>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4"/>
                <w:szCs w:val="24"/>
                <w:lang w:val="id-ID" w:eastAsia="id-ID"/>
              </w:rPr>
            </w:pPr>
            <w:r w:rsidRPr="00026D20">
              <w:rPr>
                <w:rFonts w:asciiTheme="minorHAnsi" w:eastAsia="Times New Roman" w:hAnsiTheme="minorHAnsi" w:cstheme="minorHAnsi"/>
                <w:bCs/>
                <w:color w:val="000000"/>
                <w:sz w:val="24"/>
                <w:szCs w:val="24"/>
                <w:lang w:val="id-ID" w:eastAsia="id-ID"/>
              </w:rPr>
              <w:t>338708</w:t>
            </w:r>
          </w:p>
        </w:tc>
        <w:tc>
          <w:tcPr>
            <w:tcW w:w="1971" w:type="dxa"/>
          </w:tcPr>
          <w:p w:rsidR="00FB57BE" w:rsidRPr="00026D20" w:rsidRDefault="00FB57BE" w:rsidP="00294AD3">
            <w:pPr>
              <w:contextualSpacing/>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4"/>
                <w:szCs w:val="24"/>
                <w:lang w:val="id-ID" w:eastAsia="id-ID"/>
              </w:rPr>
            </w:pPr>
            <w:r w:rsidRPr="00026D20">
              <w:rPr>
                <w:rFonts w:asciiTheme="minorHAnsi" w:eastAsia="Times New Roman" w:hAnsiTheme="minorHAnsi" w:cstheme="minorHAnsi"/>
                <w:bCs/>
                <w:color w:val="000000"/>
                <w:sz w:val="24"/>
                <w:szCs w:val="24"/>
                <w:lang w:val="id-ID" w:eastAsia="id-ID"/>
              </w:rPr>
              <w:t>38397</w:t>
            </w:r>
          </w:p>
        </w:tc>
        <w:tc>
          <w:tcPr>
            <w:tcW w:w="1971" w:type="dxa"/>
          </w:tcPr>
          <w:p w:rsidR="00FB57BE" w:rsidRPr="00026D20" w:rsidRDefault="00FB57BE" w:rsidP="00294AD3">
            <w:pPr>
              <w:contextualSpacing/>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4"/>
                <w:szCs w:val="24"/>
                <w:lang w:val="id-ID" w:eastAsia="id-ID"/>
              </w:rPr>
            </w:pPr>
            <w:r w:rsidRPr="00026D20">
              <w:rPr>
                <w:rFonts w:asciiTheme="minorHAnsi" w:eastAsia="Times New Roman" w:hAnsiTheme="minorHAnsi" w:cstheme="minorHAnsi"/>
                <w:bCs/>
                <w:color w:val="000000"/>
                <w:sz w:val="24"/>
                <w:szCs w:val="24"/>
                <w:lang w:val="id-ID" w:eastAsia="id-ID"/>
              </w:rPr>
              <w:t>78732</w:t>
            </w:r>
          </w:p>
        </w:tc>
        <w:tc>
          <w:tcPr>
            <w:tcW w:w="1971" w:type="dxa"/>
          </w:tcPr>
          <w:p w:rsidR="00FB57BE" w:rsidRPr="00026D20" w:rsidRDefault="00FB57BE" w:rsidP="00294AD3">
            <w:pPr>
              <w:contextualSpacing/>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4"/>
                <w:szCs w:val="24"/>
                <w:lang w:val="id-ID" w:eastAsia="id-ID"/>
              </w:rPr>
            </w:pPr>
            <w:r w:rsidRPr="00026D20">
              <w:rPr>
                <w:rFonts w:asciiTheme="minorHAnsi" w:eastAsia="Times New Roman" w:hAnsiTheme="minorHAnsi" w:cstheme="minorHAnsi"/>
                <w:bCs/>
                <w:color w:val="000000"/>
                <w:sz w:val="24"/>
                <w:szCs w:val="24"/>
                <w:lang w:val="id-ID" w:eastAsia="id-ID"/>
              </w:rPr>
              <w:t>70696</w:t>
            </w:r>
          </w:p>
        </w:tc>
      </w:tr>
      <w:tr w:rsidR="00FB57BE" w:rsidRPr="00026D20" w:rsidTr="00FB57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1" w:type="dxa"/>
          </w:tcPr>
          <w:p w:rsidR="00FB57BE" w:rsidRPr="00026D20" w:rsidRDefault="00FB57BE" w:rsidP="00294AD3">
            <w:pPr>
              <w:contextualSpacing/>
              <w:rPr>
                <w:rFonts w:asciiTheme="minorHAnsi" w:eastAsia="Times New Roman" w:hAnsiTheme="minorHAnsi" w:cstheme="minorHAnsi"/>
                <w:bCs w:val="0"/>
                <w:color w:val="000000"/>
                <w:sz w:val="24"/>
                <w:szCs w:val="24"/>
                <w:lang w:eastAsia="id-ID"/>
              </w:rPr>
            </w:pPr>
            <w:r w:rsidRPr="00026D20">
              <w:rPr>
                <w:rFonts w:asciiTheme="minorHAnsi" w:eastAsia="Times New Roman" w:hAnsiTheme="minorHAnsi" w:cstheme="minorHAnsi"/>
                <w:bCs w:val="0"/>
                <w:color w:val="000000"/>
                <w:sz w:val="24"/>
                <w:szCs w:val="24"/>
                <w:lang w:eastAsia="id-ID"/>
              </w:rPr>
              <w:t>Iron Sand</w:t>
            </w:r>
          </w:p>
        </w:tc>
        <w:tc>
          <w:tcPr>
            <w:tcW w:w="1971" w:type="dxa"/>
          </w:tcPr>
          <w:p w:rsidR="00FB57BE" w:rsidRPr="00026D20" w:rsidRDefault="00FB57BE" w:rsidP="00294AD3">
            <w:pPr>
              <w:contextualSpacing/>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4"/>
                <w:szCs w:val="24"/>
                <w:lang w:val="id-ID" w:eastAsia="id-ID"/>
              </w:rPr>
            </w:pPr>
            <w:r w:rsidRPr="00026D20">
              <w:rPr>
                <w:rFonts w:asciiTheme="minorHAnsi" w:eastAsia="Times New Roman" w:hAnsiTheme="minorHAnsi" w:cstheme="minorHAnsi"/>
                <w:bCs/>
                <w:color w:val="000000"/>
                <w:sz w:val="24"/>
                <w:szCs w:val="24"/>
                <w:lang w:val="id-ID" w:eastAsia="id-ID"/>
              </w:rPr>
              <w:t>16602</w:t>
            </w:r>
          </w:p>
        </w:tc>
        <w:tc>
          <w:tcPr>
            <w:tcW w:w="1971" w:type="dxa"/>
          </w:tcPr>
          <w:p w:rsidR="00FB57BE" w:rsidRPr="00026D20" w:rsidRDefault="00FB57BE" w:rsidP="00294AD3">
            <w:pPr>
              <w:contextualSpacing/>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4"/>
                <w:szCs w:val="24"/>
                <w:lang w:val="id-ID" w:eastAsia="id-ID"/>
              </w:rPr>
            </w:pPr>
            <w:r w:rsidRPr="00026D20">
              <w:rPr>
                <w:rFonts w:asciiTheme="minorHAnsi" w:eastAsia="Times New Roman" w:hAnsiTheme="minorHAnsi" w:cstheme="minorHAnsi"/>
                <w:bCs/>
                <w:color w:val="000000"/>
                <w:sz w:val="24"/>
                <w:szCs w:val="24"/>
                <w:lang w:val="id-ID" w:eastAsia="id-ID"/>
              </w:rPr>
              <w:t>31963</w:t>
            </w:r>
          </w:p>
        </w:tc>
        <w:tc>
          <w:tcPr>
            <w:tcW w:w="1971" w:type="dxa"/>
          </w:tcPr>
          <w:p w:rsidR="00FB57BE" w:rsidRPr="00026D20" w:rsidRDefault="00FB57BE" w:rsidP="00294AD3">
            <w:pPr>
              <w:contextualSpacing/>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4"/>
                <w:szCs w:val="24"/>
                <w:lang w:val="id-ID" w:eastAsia="id-ID"/>
              </w:rPr>
            </w:pPr>
            <w:r w:rsidRPr="00026D20">
              <w:rPr>
                <w:rFonts w:asciiTheme="minorHAnsi" w:eastAsia="Times New Roman" w:hAnsiTheme="minorHAnsi" w:cstheme="minorHAnsi"/>
                <w:bCs/>
                <w:color w:val="000000"/>
                <w:sz w:val="24"/>
                <w:szCs w:val="24"/>
                <w:lang w:val="id-ID" w:eastAsia="id-ID"/>
              </w:rPr>
              <w:t>1695</w:t>
            </w:r>
          </w:p>
        </w:tc>
        <w:tc>
          <w:tcPr>
            <w:tcW w:w="1971" w:type="dxa"/>
          </w:tcPr>
          <w:p w:rsidR="00FB57BE" w:rsidRPr="00026D20" w:rsidRDefault="00FB57BE" w:rsidP="00294AD3">
            <w:pPr>
              <w:contextualSpacing/>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4"/>
                <w:szCs w:val="24"/>
                <w:lang w:val="id-ID" w:eastAsia="id-ID"/>
              </w:rPr>
            </w:pPr>
            <w:r w:rsidRPr="00026D20">
              <w:rPr>
                <w:rFonts w:asciiTheme="minorHAnsi" w:eastAsia="Times New Roman" w:hAnsiTheme="minorHAnsi" w:cstheme="minorHAnsi"/>
                <w:bCs/>
                <w:color w:val="000000"/>
                <w:sz w:val="24"/>
                <w:szCs w:val="24"/>
                <w:lang w:val="id-ID" w:eastAsia="id-ID"/>
              </w:rPr>
              <w:t>-</w:t>
            </w:r>
          </w:p>
        </w:tc>
      </w:tr>
      <w:tr w:rsidR="00FB57BE" w:rsidRPr="00026D20" w:rsidTr="00FB57BE">
        <w:tc>
          <w:tcPr>
            <w:cnfStyle w:val="001000000000" w:firstRow="0" w:lastRow="0" w:firstColumn="1" w:lastColumn="0" w:oddVBand="0" w:evenVBand="0" w:oddHBand="0" w:evenHBand="0" w:firstRowFirstColumn="0" w:firstRowLastColumn="0" w:lastRowFirstColumn="0" w:lastRowLastColumn="0"/>
            <w:tcW w:w="1971" w:type="dxa"/>
          </w:tcPr>
          <w:p w:rsidR="00FB57BE" w:rsidRPr="00026D20" w:rsidRDefault="00FB57BE" w:rsidP="00294AD3">
            <w:pPr>
              <w:contextualSpacing/>
              <w:rPr>
                <w:rFonts w:asciiTheme="minorHAnsi" w:eastAsia="Times New Roman" w:hAnsiTheme="minorHAnsi" w:cstheme="minorHAnsi"/>
                <w:bCs w:val="0"/>
                <w:color w:val="000000"/>
                <w:sz w:val="24"/>
                <w:szCs w:val="24"/>
                <w:lang w:eastAsia="id-ID"/>
              </w:rPr>
            </w:pPr>
            <w:r w:rsidRPr="00026D20">
              <w:rPr>
                <w:rFonts w:asciiTheme="minorHAnsi" w:eastAsia="Times New Roman" w:hAnsiTheme="minorHAnsi" w:cstheme="minorHAnsi"/>
                <w:bCs w:val="0"/>
                <w:color w:val="000000"/>
                <w:sz w:val="24"/>
                <w:szCs w:val="24"/>
                <w:lang w:eastAsia="id-ID"/>
              </w:rPr>
              <w:t>Copper Concentrate</w:t>
            </w:r>
          </w:p>
        </w:tc>
        <w:tc>
          <w:tcPr>
            <w:tcW w:w="1971" w:type="dxa"/>
          </w:tcPr>
          <w:p w:rsidR="00FB57BE" w:rsidRPr="00026D20" w:rsidRDefault="00FB57BE" w:rsidP="00294AD3">
            <w:pPr>
              <w:contextualSpacing/>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4"/>
                <w:szCs w:val="24"/>
                <w:lang w:val="id-ID" w:eastAsia="id-ID"/>
              </w:rPr>
            </w:pPr>
            <w:r w:rsidRPr="00026D20">
              <w:rPr>
                <w:rFonts w:asciiTheme="minorHAnsi" w:eastAsia="Times New Roman" w:hAnsiTheme="minorHAnsi" w:cstheme="minorHAnsi"/>
                <w:bCs/>
                <w:color w:val="000000"/>
                <w:sz w:val="24"/>
                <w:szCs w:val="24"/>
                <w:lang w:val="id-ID" w:eastAsia="id-ID"/>
              </w:rPr>
              <w:t>1 388 758</w:t>
            </w:r>
          </w:p>
        </w:tc>
        <w:tc>
          <w:tcPr>
            <w:tcW w:w="1971" w:type="dxa"/>
          </w:tcPr>
          <w:p w:rsidR="00FB57BE" w:rsidRPr="00026D20" w:rsidRDefault="00FB57BE" w:rsidP="00294AD3">
            <w:pPr>
              <w:contextualSpacing/>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4"/>
                <w:szCs w:val="24"/>
                <w:lang w:val="id-ID" w:eastAsia="id-ID"/>
              </w:rPr>
            </w:pPr>
            <w:r w:rsidRPr="00026D20">
              <w:rPr>
                <w:rFonts w:asciiTheme="minorHAnsi" w:eastAsia="Times New Roman" w:hAnsiTheme="minorHAnsi" w:cstheme="minorHAnsi"/>
                <w:bCs/>
                <w:color w:val="000000"/>
                <w:sz w:val="24"/>
                <w:szCs w:val="24"/>
                <w:lang w:val="id-ID" w:eastAsia="id-ID"/>
              </w:rPr>
              <w:t>641685</w:t>
            </w:r>
          </w:p>
        </w:tc>
        <w:tc>
          <w:tcPr>
            <w:tcW w:w="1971" w:type="dxa"/>
          </w:tcPr>
          <w:p w:rsidR="00FB57BE" w:rsidRPr="00026D20" w:rsidRDefault="00FB57BE" w:rsidP="00294AD3">
            <w:pPr>
              <w:contextualSpacing/>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4"/>
                <w:szCs w:val="24"/>
                <w:lang w:val="id-ID" w:eastAsia="id-ID"/>
              </w:rPr>
            </w:pPr>
            <w:r w:rsidRPr="00026D20">
              <w:rPr>
                <w:rFonts w:asciiTheme="minorHAnsi" w:eastAsia="Times New Roman" w:hAnsiTheme="minorHAnsi" w:cstheme="minorHAnsi"/>
                <w:bCs/>
                <w:color w:val="000000"/>
                <w:sz w:val="24"/>
                <w:szCs w:val="24"/>
                <w:lang w:val="id-ID" w:eastAsia="id-ID"/>
              </w:rPr>
              <w:t>1650337</w:t>
            </w:r>
          </w:p>
        </w:tc>
        <w:tc>
          <w:tcPr>
            <w:tcW w:w="1971" w:type="dxa"/>
          </w:tcPr>
          <w:p w:rsidR="00FB57BE" w:rsidRPr="00026D20" w:rsidRDefault="00FB57BE" w:rsidP="00294AD3">
            <w:pPr>
              <w:contextualSpacing/>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4"/>
                <w:szCs w:val="24"/>
                <w:lang w:val="id-ID" w:eastAsia="id-ID"/>
              </w:rPr>
            </w:pPr>
            <w:r w:rsidRPr="00026D20">
              <w:rPr>
                <w:rFonts w:asciiTheme="minorHAnsi" w:eastAsia="Times New Roman" w:hAnsiTheme="minorHAnsi" w:cstheme="minorHAnsi"/>
                <w:bCs/>
                <w:color w:val="000000"/>
                <w:sz w:val="24"/>
                <w:szCs w:val="24"/>
                <w:lang w:val="id-ID" w:eastAsia="id-ID"/>
              </w:rPr>
              <w:t>3747586</w:t>
            </w:r>
          </w:p>
        </w:tc>
      </w:tr>
      <w:tr w:rsidR="00FB57BE" w:rsidRPr="00026D20" w:rsidTr="00FB57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1" w:type="dxa"/>
          </w:tcPr>
          <w:p w:rsidR="00FB57BE" w:rsidRPr="00026D20" w:rsidRDefault="00FB57BE" w:rsidP="00294AD3">
            <w:pPr>
              <w:contextualSpacing/>
              <w:rPr>
                <w:rFonts w:asciiTheme="minorHAnsi" w:eastAsia="Times New Roman" w:hAnsiTheme="minorHAnsi" w:cstheme="minorHAnsi"/>
                <w:bCs w:val="0"/>
                <w:color w:val="000000"/>
                <w:sz w:val="24"/>
                <w:szCs w:val="24"/>
                <w:lang w:eastAsia="id-ID"/>
              </w:rPr>
            </w:pPr>
            <w:r w:rsidRPr="00026D20">
              <w:rPr>
                <w:rFonts w:asciiTheme="minorHAnsi" w:eastAsia="Times New Roman" w:hAnsiTheme="minorHAnsi" w:cstheme="minorHAnsi"/>
                <w:bCs w:val="0"/>
                <w:color w:val="000000"/>
                <w:sz w:val="24"/>
                <w:szCs w:val="24"/>
                <w:lang w:eastAsia="id-ID"/>
              </w:rPr>
              <w:t>Tin</w:t>
            </w:r>
          </w:p>
        </w:tc>
        <w:tc>
          <w:tcPr>
            <w:tcW w:w="1971" w:type="dxa"/>
          </w:tcPr>
          <w:p w:rsidR="00FB57BE" w:rsidRPr="00026D20" w:rsidRDefault="00FB57BE" w:rsidP="00294AD3">
            <w:pPr>
              <w:contextualSpacing/>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4"/>
                <w:szCs w:val="24"/>
                <w:lang w:val="id-ID" w:eastAsia="id-ID"/>
              </w:rPr>
            </w:pPr>
            <w:r w:rsidRPr="00026D20">
              <w:rPr>
                <w:rFonts w:asciiTheme="minorHAnsi" w:eastAsia="Times New Roman" w:hAnsiTheme="minorHAnsi" w:cstheme="minorHAnsi"/>
                <w:bCs/>
                <w:color w:val="000000"/>
                <w:sz w:val="24"/>
                <w:szCs w:val="24"/>
                <w:lang w:val="id-ID" w:eastAsia="id-ID"/>
              </w:rPr>
              <w:t>13706</w:t>
            </w:r>
          </w:p>
        </w:tc>
        <w:tc>
          <w:tcPr>
            <w:tcW w:w="1971" w:type="dxa"/>
          </w:tcPr>
          <w:p w:rsidR="00FB57BE" w:rsidRPr="00026D20" w:rsidRDefault="00FB57BE" w:rsidP="00294AD3">
            <w:pPr>
              <w:contextualSpacing/>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4"/>
                <w:szCs w:val="24"/>
                <w:lang w:val="id-ID" w:eastAsia="id-ID"/>
              </w:rPr>
            </w:pPr>
            <w:r w:rsidRPr="00026D20">
              <w:rPr>
                <w:rFonts w:asciiTheme="minorHAnsi" w:eastAsia="Times New Roman" w:hAnsiTheme="minorHAnsi" w:cstheme="minorHAnsi"/>
                <w:bCs/>
                <w:color w:val="000000"/>
                <w:sz w:val="24"/>
                <w:szCs w:val="24"/>
                <w:lang w:val="id-ID" w:eastAsia="id-ID"/>
              </w:rPr>
              <w:t>14504</w:t>
            </w:r>
          </w:p>
        </w:tc>
        <w:tc>
          <w:tcPr>
            <w:tcW w:w="1971" w:type="dxa"/>
          </w:tcPr>
          <w:p w:rsidR="00FB57BE" w:rsidRPr="00026D20" w:rsidRDefault="00FB57BE" w:rsidP="00294AD3">
            <w:pPr>
              <w:contextualSpacing/>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4"/>
                <w:szCs w:val="24"/>
                <w:lang w:val="id-ID" w:eastAsia="id-ID"/>
              </w:rPr>
            </w:pPr>
            <w:r w:rsidRPr="00026D20">
              <w:rPr>
                <w:rFonts w:asciiTheme="minorHAnsi" w:eastAsia="Times New Roman" w:hAnsiTheme="minorHAnsi" w:cstheme="minorHAnsi"/>
                <w:bCs/>
                <w:color w:val="000000"/>
                <w:sz w:val="24"/>
                <w:szCs w:val="24"/>
                <w:lang w:val="id-ID" w:eastAsia="id-ID"/>
              </w:rPr>
              <w:t>49410</w:t>
            </w:r>
          </w:p>
        </w:tc>
        <w:tc>
          <w:tcPr>
            <w:tcW w:w="1971" w:type="dxa"/>
          </w:tcPr>
          <w:p w:rsidR="00FB57BE" w:rsidRPr="00026D20" w:rsidRDefault="00FB57BE" w:rsidP="00294AD3">
            <w:pPr>
              <w:contextualSpacing/>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4"/>
                <w:szCs w:val="24"/>
                <w:lang w:val="id-ID" w:eastAsia="id-ID"/>
              </w:rPr>
            </w:pPr>
            <w:r w:rsidRPr="00026D20">
              <w:rPr>
                <w:rFonts w:asciiTheme="minorHAnsi" w:eastAsia="Times New Roman" w:hAnsiTheme="minorHAnsi" w:cstheme="minorHAnsi"/>
                <w:bCs/>
                <w:color w:val="000000"/>
                <w:sz w:val="24"/>
                <w:szCs w:val="24"/>
                <w:lang w:val="id-ID" w:eastAsia="id-ID"/>
              </w:rPr>
              <w:t>90069</w:t>
            </w:r>
          </w:p>
        </w:tc>
      </w:tr>
      <w:tr w:rsidR="00FB57BE" w:rsidRPr="00026D20" w:rsidTr="00FB57BE">
        <w:tc>
          <w:tcPr>
            <w:cnfStyle w:val="001000000000" w:firstRow="0" w:lastRow="0" w:firstColumn="1" w:lastColumn="0" w:oddVBand="0" w:evenVBand="0" w:oddHBand="0" w:evenHBand="0" w:firstRowFirstColumn="0" w:firstRowLastColumn="0" w:lastRowFirstColumn="0" w:lastRowLastColumn="0"/>
            <w:tcW w:w="1971" w:type="dxa"/>
          </w:tcPr>
          <w:p w:rsidR="00FB57BE" w:rsidRPr="00026D20" w:rsidRDefault="00FB57BE" w:rsidP="00294AD3">
            <w:pPr>
              <w:contextualSpacing/>
              <w:rPr>
                <w:rFonts w:asciiTheme="minorHAnsi" w:eastAsia="Times New Roman" w:hAnsiTheme="minorHAnsi" w:cstheme="minorHAnsi"/>
                <w:bCs w:val="0"/>
                <w:color w:val="000000"/>
                <w:sz w:val="24"/>
                <w:szCs w:val="24"/>
                <w:lang w:eastAsia="id-ID"/>
              </w:rPr>
            </w:pPr>
            <w:r w:rsidRPr="00026D20">
              <w:rPr>
                <w:rFonts w:asciiTheme="minorHAnsi" w:eastAsia="Times New Roman" w:hAnsiTheme="minorHAnsi" w:cstheme="minorHAnsi"/>
                <w:bCs w:val="0"/>
                <w:color w:val="000000"/>
                <w:sz w:val="24"/>
                <w:szCs w:val="24"/>
                <w:lang w:eastAsia="id-ID"/>
              </w:rPr>
              <w:t>Total</w:t>
            </w:r>
          </w:p>
        </w:tc>
        <w:tc>
          <w:tcPr>
            <w:tcW w:w="1971" w:type="dxa"/>
          </w:tcPr>
          <w:p w:rsidR="00FB57BE" w:rsidRPr="00026D20" w:rsidRDefault="00FB57BE" w:rsidP="00294AD3">
            <w:pPr>
              <w:contextualSpacing/>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4"/>
                <w:szCs w:val="24"/>
                <w:lang w:val="id-ID" w:eastAsia="id-ID"/>
              </w:rPr>
            </w:pPr>
            <w:r w:rsidRPr="00026D20">
              <w:rPr>
                <w:rFonts w:asciiTheme="minorHAnsi" w:eastAsia="Times New Roman" w:hAnsiTheme="minorHAnsi" w:cstheme="minorHAnsi"/>
                <w:bCs/>
                <w:color w:val="000000"/>
                <w:sz w:val="24"/>
                <w:szCs w:val="24"/>
                <w:lang w:val="id-ID" w:eastAsia="id-ID"/>
              </w:rPr>
              <w:t>3770369</w:t>
            </w:r>
          </w:p>
        </w:tc>
        <w:tc>
          <w:tcPr>
            <w:tcW w:w="1971" w:type="dxa"/>
          </w:tcPr>
          <w:p w:rsidR="00FB57BE" w:rsidRPr="00026D20" w:rsidRDefault="00FB57BE" w:rsidP="00294AD3">
            <w:pPr>
              <w:contextualSpacing/>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4"/>
                <w:szCs w:val="24"/>
                <w:lang w:val="id-ID" w:eastAsia="id-ID"/>
              </w:rPr>
            </w:pPr>
            <w:r w:rsidRPr="00026D20">
              <w:rPr>
                <w:rFonts w:asciiTheme="minorHAnsi" w:eastAsia="Times New Roman" w:hAnsiTheme="minorHAnsi" w:cstheme="minorHAnsi"/>
                <w:bCs/>
                <w:color w:val="000000"/>
                <w:sz w:val="24"/>
                <w:szCs w:val="24"/>
                <w:lang w:val="id-ID" w:eastAsia="id-ID"/>
              </w:rPr>
              <w:t>1966605</w:t>
            </w:r>
          </w:p>
        </w:tc>
        <w:tc>
          <w:tcPr>
            <w:tcW w:w="1971" w:type="dxa"/>
          </w:tcPr>
          <w:p w:rsidR="00FB57BE" w:rsidRPr="00026D20" w:rsidRDefault="00FB57BE" w:rsidP="00294AD3">
            <w:pPr>
              <w:contextualSpacing/>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4"/>
                <w:szCs w:val="24"/>
                <w:lang w:val="id-ID" w:eastAsia="id-ID"/>
              </w:rPr>
            </w:pPr>
            <w:r w:rsidRPr="00026D20">
              <w:rPr>
                <w:rFonts w:asciiTheme="minorHAnsi" w:eastAsia="Times New Roman" w:hAnsiTheme="minorHAnsi" w:cstheme="minorHAnsi"/>
                <w:bCs/>
                <w:color w:val="000000"/>
                <w:sz w:val="24"/>
                <w:szCs w:val="24"/>
                <w:lang w:val="id-ID" w:eastAsia="id-ID"/>
              </w:rPr>
              <w:t>6278386</w:t>
            </w:r>
          </w:p>
        </w:tc>
        <w:tc>
          <w:tcPr>
            <w:tcW w:w="1971" w:type="dxa"/>
          </w:tcPr>
          <w:p w:rsidR="00FB57BE" w:rsidRPr="00026D20" w:rsidRDefault="00FB57BE" w:rsidP="00294AD3">
            <w:pPr>
              <w:contextualSpacing/>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4"/>
                <w:szCs w:val="24"/>
                <w:lang w:val="id-ID" w:eastAsia="id-ID"/>
              </w:rPr>
            </w:pPr>
            <w:r w:rsidRPr="00026D20">
              <w:rPr>
                <w:rFonts w:asciiTheme="minorHAnsi" w:eastAsia="Times New Roman" w:hAnsiTheme="minorHAnsi" w:cstheme="minorHAnsi"/>
                <w:bCs/>
                <w:color w:val="000000"/>
                <w:sz w:val="24"/>
                <w:szCs w:val="24"/>
                <w:lang w:val="id-ID" w:eastAsia="id-ID"/>
              </w:rPr>
              <w:t>9020889</w:t>
            </w:r>
          </w:p>
        </w:tc>
      </w:tr>
    </w:tbl>
    <w:p w:rsidR="00FB57BE" w:rsidRPr="00026D20" w:rsidRDefault="00FB57BE" w:rsidP="00FB57BE">
      <w:pPr>
        <w:contextualSpacing/>
        <w:jc w:val="center"/>
        <w:rPr>
          <w:rFonts w:asciiTheme="minorHAnsi" w:eastAsia="Times New Roman" w:hAnsiTheme="minorHAnsi" w:cstheme="minorHAnsi"/>
          <w:bCs/>
          <w:color w:val="000000"/>
          <w:sz w:val="24"/>
          <w:szCs w:val="24"/>
          <w:lang w:eastAsia="id-ID"/>
        </w:rPr>
      </w:pPr>
      <w:r w:rsidRPr="00026D20">
        <w:rPr>
          <w:rFonts w:asciiTheme="minorHAnsi" w:eastAsia="Times New Roman" w:hAnsiTheme="minorHAnsi" w:cstheme="minorHAnsi"/>
          <w:bCs/>
          <w:color w:val="000000"/>
          <w:sz w:val="24"/>
          <w:szCs w:val="24"/>
          <w:lang w:eastAsia="id-ID"/>
        </w:rPr>
        <w:t>Sources: Central Bureau of Statistics, 2021</w:t>
      </w:r>
    </w:p>
    <w:p w:rsidR="00FB57BE" w:rsidRPr="00026D20" w:rsidRDefault="00FB57BE" w:rsidP="00FB57BE">
      <w:pPr>
        <w:pStyle w:val="HRPUB-Paragraph"/>
        <w:ind w:firstLineChars="0" w:firstLine="0"/>
        <w:rPr>
          <w:rFonts w:asciiTheme="minorHAnsi" w:hAnsiTheme="minorHAnsi" w:cstheme="minorHAnsi"/>
          <w:sz w:val="24"/>
        </w:rPr>
      </w:pPr>
      <w:r w:rsidRPr="00026D20">
        <w:rPr>
          <w:rFonts w:asciiTheme="minorHAnsi" w:hAnsiTheme="minorHAnsi" w:cstheme="minorHAnsi"/>
          <w:sz w:val="24"/>
        </w:rPr>
        <w:t>As the data presented in table 1 shows that there are differences in recovery costs for each type of mine. It is known that there has been an increase in environmental recovery funds due to damage to mining activities in line with the year in 2019 which increased more than (the difference between 2019-2018)</w:t>
      </w:r>
      <w:r w:rsidRPr="00026D20">
        <w:rPr>
          <w:rFonts w:asciiTheme="minorHAnsi" w:hAnsiTheme="minorHAnsi" w:cstheme="minorHAnsi"/>
          <w:bCs/>
          <w:color w:val="000000"/>
          <w:sz w:val="24"/>
          <w:lang w:eastAsia="id-ID"/>
        </w:rPr>
        <w:t xml:space="preserve">. In 2018, it was 1966605, then in 2019, it was 6278386, and it will rise again in 2020 to 9020889. </w:t>
      </w:r>
      <w:r w:rsidRPr="00026D20">
        <w:rPr>
          <w:rFonts w:asciiTheme="minorHAnsi" w:hAnsiTheme="minorHAnsi" w:cstheme="minorHAnsi"/>
          <w:sz w:val="24"/>
        </w:rPr>
        <w:t xml:space="preserve">Government Regulation No. 22 of 2021 on the Implementation of Environmental Protection and Management says that anyone who has an environmental approval permit must set up a guarantee fund to restore ecological functions </w:t>
      </w:r>
      <w:r w:rsidR="005F7846">
        <w:rPr>
          <w:rStyle w:val="FootnoteReference"/>
          <w:rFonts w:asciiTheme="minorHAnsi" w:hAnsiTheme="minorHAnsi" w:cstheme="minorHAnsi"/>
          <w:sz w:val="24"/>
        </w:rPr>
        <w:footnoteReference w:id="38"/>
      </w:r>
      <w:r w:rsidRPr="00026D20">
        <w:rPr>
          <w:rFonts w:asciiTheme="minorHAnsi" w:hAnsiTheme="minorHAnsi" w:cstheme="minorHAnsi"/>
          <w:sz w:val="24"/>
        </w:rPr>
        <w:t xml:space="preserve">. On the ground, however, IUP/IUPK owners continue to break the law by using natural resources in ways that aren't allowed by their designation </w:t>
      </w:r>
      <w:r w:rsidR="005F7846">
        <w:rPr>
          <w:rStyle w:val="FootnoteReference"/>
          <w:rFonts w:asciiTheme="minorHAnsi" w:hAnsiTheme="minorHAnsi" w:cstheme="minorHAnsi"/>
          <w:sz w:val="24"/>
        </w:rPr>
        <w:footnoteReference w:id="39"/>
      </w:r>
      <w:r w:rsidRPr="00026D20">
        <w:rPr>
          <w:rFonts w:asciiTheme="minorHAnsi" w:hAnsiTheme="minorHAnsi" w:cstheme="minorHAnsi"/>
          <w:sz w:val="24"/>
        </w:rPr>
        <w:t>. IUP/IUPK holders are obligated to apply sound mining engineering principles in accordance with mining regulations that aid the government in regional development, mining safety, environmental management, and community empowerment. Environmental management efforts necessitate the existence of policies that enhance the implementation of every mining operation. Due to the nature of mining's impact on the environment, mining law is a multidimensional field of study. In addition to serving as a means of protection and providing certainty for the community, mining law also serves as a means of development, whose role is as an agent of outcome or change. Law Number 3 of 2020 represents a paradigm shift in state control over minerals and coal mining, as it concentrates all authority on the central government, including the authority to issue mining permits that have implications for the management of the local government</w:t>
      </w:r>
      <w:r w:rsidRPr="00026D20">
        <w:rPr>
          <w:rStyle w:val="FootnoteReference"/>
          <w:rFonts w:asciiTheme="minorHAnsi" w:hAnsiTheme="minorHAnsi" w:cstheme="minorHAnsi"/>
          <w:sz w:val="24"/>
        </w:rPr>
        <w:t xml:space="preserve"> </w:t>
      </w:r>
      <w:r w:rsidR="005F7846">
        <w:rPr>
          <w:rStyle w:val="FootnoteReference"/>
          <w:rFonts w:asciiTheme="minorHAnsi" w:hAnsiTheme="minorHAnsi" w:cstheme="minorHAnsi"/>
          <w:sz w:val="24"/>
        </w:rPr>
        <w:footnoteReference w:id="40"/>
      </w:r>
      <w:r w:rsidRPr="00026D20">
        <w:rPr>
          <w:rFonts w:asciiTheme="minorHAnsi" w:hAnsiTheme="minorHAnsi" w:cstheme="minorHAnsi"/>
          <w:sz w:val="24"/>
        </w:rPr>
        <w:t>.</w:t>
      </w:r>
    </w:p>
    <w:p w:rsidR="00FB57BE" w:rsidRPr="00026D20" w:rsidRDefault="00FB57BE" w:rsidP="00FB57BE">
      <w:pPr>
        <w:pStyle w:val="HRPUB-Paragraph"/>
        <w:ind w:firstLineChars="0" w:firstLine="0"/>
        <w:rPr>
          <w:rFonts w:asciiTheme="minorHAnsi" w:hAnsiTheme="minorHAnsi" w:cstheme="minorHAnsi"/>
          <w:sz w:val="24"/>
        </w:rPr>
      </w:pPr>
      <w:r w:rsidRPr="00026D20">
        <w:rPr>
          <w:rFonts w:asciiTheme="minorHAnsi" w:hAnsiTheme="minorHAnsi" w:cstheme="minorHAnsi"/>
          <w:sz w:val="24"/>
        </w:rPr>
        <w:t xml:space="preserve">Mining activities have the potential to alter an area's ecosystem due to their ability to clear land and alter landscape conditions. Mining activities have an impact not only during the mining process but also after mining is complete, or what is commonly known as post-mining. When they stopped mining, some companies weren't responsible for the holes they left behind, which could cause long-term damage to the </w:t>
      </w:r>
      <w:r w:rsidRPr="00026D20">
        <w:rPr>
          <w:rFonts w:asciiTheme="minorHAnsi" w:hAnsiTheme="minorHAnsi" w:cstheme="minorHAnsi"/>
          <w:sz w:val="24"/>
        </w:rPr>
        <w:lastRenderedPageBreak/>
        <w:t xml:space="preserve">environment </w:t>
      </w:r>
      <w:r w:rsidR="005F7846">
        <w:rPr>
          <w:rStyle w:val="FootnoteReference"/>
          <w:rFonts w:asciiTheme="minorHAnsi" w:hAnsiTheme="minorHAnsi" w:cstheme="minorHAnsi"/>
          <w:sz w:val="24"/>
          <w:lang w:val="id-ID"/>
        </w:rPr>
        <w:footnoteReference w:id="41"/>
      </w:r>
      <w:r w:rsidRPr="00026D20">
        <w:rPr>
          <w:rFonts w:asciiTheme="minorHAnsi" w:hAnsiTheme="minorHAnsi" w:cstheme="minorHAnsi"/>
          <w:sz w:val="24"/>
        </w:rPr>
        <w:t xml:space="preserve">. It has been acknowledged that the mining industry has the potential to continue to expand rapidly and generate substantial profits. Alongside the expansion of civilization and human progress, regulation is required to encourage the mining industry to maximize its operations while minimizing negative effects to the greatest extent possible </w:t>
      </w:r>
      <w:r w:rsidR="005F7846">
        <w:rPr>
          <w:rStyle w:val="FootnoteReference"/>
          <w:rFonts w:asciiTheme="minorHAnsi" w:hAnsiTheme="minorHAnsi" w:cstheme="minorHAnsi"/>
          <w:sz w:val="24"/>
        </w:rPr>
        <w:footnoteReference w:id="42"/>
      </w:r>
      <w:r w:rsidRPr="00026D20">
        <w:rPr>
          <w:rFonts w:asciiTheme="minorHAnsi" w:hAnsiTheme="minorHAnsi" w:cstheme="minorHAnsi"/>
          <w:sz w:val="24"/>
        </w:rPr>
        <w:t xml:space="preserve">. The fact that local governments continue to have limited space under Law No. 3 of 2020 raises numerous legal concerns regarding the legal advantages of this legal reform. Article 2 of Law No. 4 of 2009 outlines the legal concept of a benefit. The definition of the benefit principle aligns with Jeremy Bentham's concept of legal benefit, which states that the law must provide benefits or advantages for many individuals. The two rules are basically the same, which makes the public worry about arrangements that overlap and hurt mining activities and can't give legal certainty </w:t>
      </w:r>
      <w:r w:rsidR="005F7846">
        <w:rPr>
          <w:rStyle w:val="FootnoteReference"/>
          <w:rFonts w:asciiTheme="minorHAnsi" w:hAnsiTheme="minorHAnsi" w:cstheme="minorHAnsi"/>
          <w:sz w:val="24"/>
        </w:rPr>
        <w:footnoteReference w:id="43"/>
      </w:r>
      <w:r w:rsidRPr="00026D20">
        <w:rPr>
          <w:rFonts w:asciiTheme="minorHAnsi" w:hAnsiTheme="minorHAnsi" w:cstheme="minorHAnsi"/>
          <w:sz w:val="24"/>
        </w:rPr>
        <w:t>.</w:t>
      </w:r>
    </w:p>
    <w:p w:rsidR="00FB57BE" w:rsidRPr="00026D20" w:rsidRDefault="00FB57BE" w:rsidP="00FB57BE">
      <w:pPr>
        <w:pStyle w:val="HRPUB-Paragraph"/>
        <w:ind w:firstLineChars="0" w:firstLine="0"/>
        <w:rPr>
          <w:rStyle w:val="FootnoteReference"/>
          <w:rFonts w:asciiTheme="minorHAnsi" w:hAnsiTheme="minorHAnsi" w:cstheme="minorHAnsi"/>
          <w:sz w:val="24"/>
        </w:rPr>
      </w:pPr>
      <w:r w:rsidRPr="00026D20">
        <w:rPr>
          <w:rFonts w:asciiTheme="minorHAnsi" w:hAnsiTheme="minorHAnsi" w:cstheme="minorHAnsi"/>
          <w:sz w:val="24"/>
        </w:rPr>
        <w:t xml:space="preserve">However, the revision of the Minerals and Coal Law sparked debate. ICEL (Indonesian Center for Environmental Law) is one of many parties that has criticized the Mineral and Coal Bill (draft as of May 11) in greater detail through a scientific analysis published in the press. ICEL's research focuses on issues such as: a) the division of authority between central and local governments; b) territory determination and licensing; c) supervision; d) recovery; and e) law enforcement </w:t>
      </w:r>
      <w:r w:rsidR="005F7846">
        <w:rPr>
          <w:rStyle w:val="FootnoteReference"/>
          <w:rFonts w:asciiTheme="minorHAnsi" w:hAnsiTheme="minorHAnsi" w:cstheme="minorHAnsi"/>
          <w:sz w:val="24"/>
        </w:rPr>
        <w:footnoteReference w:id="44"/>
      </w:r>
      <w:r w:rsidRPr="00026D20">
        <w:rPr>
          <w:rFonts w:asciiTheme="minorHAnsi" w:hAnsiTheme="minorHAnsi" w:cstheme="minorHAnsi"/>
          <w:sz w:val="24"/>
        </w:rPr>
        <w:t>.The conflicting norms of the Mineral and Coal Law and the Local Government Law resulted in difficult legal practice. Although the Local Government Law states in 407 that when the Local Government Law takes effect, all laws and regulations directly related to the regions must be based on and adjusted to the Local Government Law. In practice, however, changes in licensing, coaching, and supervisory authority can lead to PETI.</w:t>
      </w:r>
    </w:p>
    <w:p w:rsidR="00FB57BE" w:rsidRPr="00026D20" w:rsidRDefault="00FB57BE" w:rsidP="00FB57BE">
      <w:pPr>
        <w:pStyle w:val="HRPUB-Paragraph"/>
        <w:ind w:firstLineChars="0" w:firstLine="0"/>
        <w:rPr>
          <w:rFonts w:asciiTheme="minorHAnsi" w:hAnsiTheme="minorHAnsi" w:cstheme="minorHAnsi"/>
          <w:sz w:val="24"/>
        </w:rPr>
      </w:pPr>
      <w:r w:rsidRPr="00026D20">
        <w:rPr>
          <w:rFonts w:asciiTheme="minorHAnsi" w:hAnsiTheme="minorHAnsi" w:cstheme="minorHAnsi"/>
          <w:sz w:val="24"/>
        </w:rPr>
        <w:t xml:space="preserve">Mining activities cause numerous legal issues. There is a mining dispute of both type and form, namely a dispute between the government and investors, a dispute between the central government and local governments, a dispute between legal entities and communities surrounding the mine </w:t>
      </w:r>
      <w:r w:rsidR="005F7846">
        <w:rPr>
          <w:rStyle w:val="FootnoteReference"/>
          <w:rFonts w:asciiTheme="minorHAnsi" w:hAnsiTheme="minorHAnsi" w:cstheme="minorHAnsi"/>
          <w:sz w:val="24"/>
        </w:rPr>
        <w:footnoteReference w:id="45"/>
      </w:r>
      <w:r w:rsidRPr="00026D20">
        <w:rPr>
          <w:rFonts w:asciiTheme="minorHAnsi" w:hAnsiTheme="minorHAnsi" w:cstheme="minorHAnsi"/>
          <w:sz w:val="24"/>
        </w:rPr>
        <w:t>. The purpose of environmental law enforcement is to organize environmental functions and safeguard ecosystem-carrying capacity values. Parties who have not completed reclamation and post-mining according to the criteria outlined in the law must be subject to legal action. Supervision is a form of law enforcement that needs to be strengthened to make sure IUP/IUPK holders are living up to their responsibilities. So far, no one has broken the law</w:t>
      </w:r>
      <w:r w:rsidRPr="00026D20">
        <w:rPr>
          <w:rFonts w:asciiTheme="minorHAnsi" w:hAnsiTheme="minorHAnsi" w:cstheme="minorHAnsi"/>
          <w:sz w:val="24"/>
          <w:lang w:val="id-ID"/>
        </w:rPr>
        <w:t>.</w:t>
      </w:r>
    </w:p>
    <w:p w:rsidR="00FB57BE" w:rsidRPr="00026D20" w:rsidRDefault="00FB57BE" w:rsidP="00FB57BE">
      <w:pPr>
        <w:pStyle w:val="HRPUB-2ndSubhead"/>
        <w:ind w:left="434" w:hanging="434"/>
        <w:rPr>
          <w:rFonts w:asciiTheme="minorHAnsi" w:hAnsiTheme="minorHAnsi" w:cstheme="minorHAnsi"/>
          <w:sz w:val="24"/>
          <w:szCs w:val="24"/>
        </w:rPr>
      </w:pPr>
      <w:r w:rsidRPr="00026D20">
        <w:rPr>
          <w:rFonts w:asciiTheme="minorHAnsi" w:hAnsiTheme="minorHAnsi" w:cstheme="minorHAnsi"/>
          <w:sz w:val="24"/>
          <w:szCs w:val="24"/>
        </w:rPr>
        <w:t xml:space="preserve">2.2. </w:t>
      </w:r>
      <w:r w:rsidRPr="00FB57BE">
        <w:rPr>
          <w:rFonts w:asciiTheme="minorHAnsi" w:hAnsiTheme="minorHAnsi" w:cstheme="minorHAnsi"/>
          <w:sz w:val="24"/>
          <w:szCs w:val="24"/>
        </w:rPr>
        <w:t>Protected Indigenous Community</w:t>
      </w:r>
      <w:r w:rsidRPr="00FB57BE">
        <w:rPr>
          <w:rFonts w:asciiTheme="minorHAnsi" w:hAnsiTheme="minorHAnsi" w:cstheme="minorHAnsi"/>
          <w:sz w:val="24"/>
          <w:szCs w:val="24"/>
        </w:rPr>
        <w:t xml:space="preserve"> </w:t>
      </w:r>
      <w:r w:rsidRPr="00026D20">
        <w:rPr>
          <w:rFonts w:asciiTheme="minorHAnsi" w:hAnsiTheme="minorHAnsi" w:cstheme="minorHAnsi"/>
          <w:sz w:val="24"/>
          <w:szCs w:val="24"/>
        </w:rPr>
        <w:t>Impact of Mining Industry in Indonesia</w:t>
      </w:r>
    </w:p>
    <w:p w:rsidR="00FB57BE" w:rsidRPr="00026D20" w:rsidRDefault="00FB57BE" w:rsidP="00FB57BE">
      <w:pPr>
        <w:pStyle w:val="HRPUB-Paragraph"/>
        <w:ind w:firstLineChars="0" w:firstLine="0"/>
        <w:rPr>
          <w:rFonts w:asciiTheme="minorHAnsi" w:hAnsiTheme="minorHAnsi" w:cstheme="minorHAnsi"/>
          <w:sz w:val="24"/>
        </w:rPr>
      </w:pPr>
      <w:r>
        <w:rPr>
          <w:rFonts w:asciiTheme="minorHAnsi" w:hAnsiTheme="minorHAnsi" w:cstheme="minorHAnsi"/>
          <w:sz w:val="24"/>
        </w:rPr>
        <w:t>The m</w:t>
      </w:r>
      <w:r w:rsidRPr="00026D20">
        <w:rPr>
          <w:rFonts w:asciiTheme="minorHAnsi" w:hAnsiTheme="minorHAnsi" w:cstheme="minorHAnsi"/>
          <w:sz w:val="24"/>
        </w:rPr>
        <w:t>ining products are extracted from the overburden. Thus, the overburden is removed from the mining region, leaving only the dug holes. This hole must be filled as part of post-mining and reclamation efforts. Companies that have valid mining business licenses have to fill in holes they dig while doing their work </w:t>
      </w:r>
      <w:r w:rsidR="005F7846">
        <w:rPr>
          <w:rStyle w:val="FootnoteReference"/>
          <w:rFonts w:asciiTheme="minorHAnsi" w:hAnsiTheme="minorHAnsi" w:cstheme="minorHAnsi"/>
          <w:sz w:val="24"/>
        </w:rPr>
        <w:footnoteReference w:id="46"/>
      </w:r>
      <w:r w:rsidRPr="00026D20">
        <w:rPr>
          <w:rFonts w:asciiTheme="minorHAnsi" w:hAnsiTheme="minorHAnsi" w:cstheme="minorHAnsi"/>
          <w:sz w:val="24"/>
        </w:rPr>
        <w:t>.</w:t>
      </w:r>
      <w:r w:rsidRPr="00026D20">
        <w:rPr>
          <w:rFonts w:asciiTheme="minorHAnsi" w:hAnsiTheme="minorHAnsi" w:cstheme="minorHAnsi"/>
          <w:bCs/>
          <w:color w:val="000000"/>
          <w:sz w:val="24"/>
          <w:lang w:val="id-ID" w:eastAsia="id-ID"/>
        </w:rPr>
        <w:t xml:space="preserve"> </w:t>
      </w:r>
      <w:r w:rsidRPr="00026D20">
        <w:rPr>
          <w:rFonts w:asciiTheme="minorHAnsi" w:hAnsiTheme="minorHAnsi" w:cstheme="minorHAnsi"/>
          <w:sz w:val="24"/>
        </w:rPr>
        <w:t xml:space="preserve">The Minerals and Coal Law No. 3 of 2020 regulates reclamation responsibilities for IUP and IUPK </w:t>
      </w:r>
      <w:r w:rsidRPr="00026D20">
        <w:rPr>
          <w:rFonts w:asciiTheme="minorHAnsi" w:hAnsiTheme="minorHAnsi" w:cstheme="minorHAnsi"/>
          <w:sz w:val="24"/>
        </w:rPr>
        <w:lastRenderedPageBreak/>
        <w:t>holders. In addition, the responsibilities for carrying out reclamation are governed by Government Regulation 78 of 2010 concerning Reclamation and Post-mining. Assume that the reclamation of the IUP/IUPK holder does not meet the success conditions. In such a case, the government may appoint a third party to conduct reclamation or post-mining operations using taxpayer funds. Article 1 of Law 32 of 2009 on Environmental Protection and Management defines environmental protection and management as efforts to keep the environment's functions and prevent pollution and ecological damage caused by environmental degradation. </w:t>
      </w:r>
    </w:p>
    <w:p w:rsidR="00FB57BE" w:rsidRPr="00026D20" w:rsidRDefault="00FB57BE" w:rsidP="00FB57BE">
      <w:pPr>
        <w:pStyle w:val="HRPUB-Paragraph"/>
        <w:ind w:firstLineChars="0" w:firstLine="0"/>
        <w:rPr>
          <w:rFonts w:asciiTheme="minorHAnsi" w:hAnsiTheme="minorHAnsi" w:cstheme="minorHAnsi"/>
          <w:sz w:val="24"/>
        </w:rPr>
      </w:pPr>
      <w:r w:rsidRPr="00026D20">
        <w:rPr>
          <w:rFonts w:asciiTheme="minorHAnsi" w:hAnsiTheme="minorHAnsi" w:cstheme="minorHAnsi"/>
          <w:sz w:val="24"/>
        </w:rPr>
        <w:t xml:space="preserve">This includes planning, implementing, regulating, maintaining, supervising, and enforcing the law. Reclamation is a process that entails improving the physical state of the soil to prevent landslides; constructing reservoirs to improve the quality of toxic acid </w:t>
      </w:r>
      <w:proofErr w:type="gramStart"/>
      <w:r w:rsidRPr="00026D20">
        <w:rPr>
          <w:rFonts w:asciiTheme="minorHAnsi" w:hAnsiTheme="minorHAnsi" w:cstheme="minorHAnsi"/>
          <w:sz w:val="24"/>
        </w:rPr>
        <w:t>mine</w:t>
      </w:r>
      <w:proofErr w:type="gramEnd"/>
      <w:r w:rsidRPr="00026D20">
        <w:rPr>
          <w:rFonts w:asciiTheme="minorHAnsi" w:hAnsiTheme="minorHAnsi" w:cstheme="minorHAnsi"/>
          <w:sz w:val="24"/>
        </w:rPr>
        <w:t xml:space="preserve"> drainage; and reforesting the area. The objective of reclamation and post-mining activities is to restore the environment to its condition prior to mining. Several stages must occur in order to successfully implement reclamation and post-mining, including the application for a permit to manage the reclamation and post-mining plans; approval of the reclamation and post-mining program's performance; and modifications to the reclamation and post-mining plans. In addition to being required to perform reclamation and post-mining activities, mining companies must also post a guarantee. Still, some businesses think that setting up a guarantee fund means that they don't have to do reclamation and other activities after mining </w:t>
      </w:r>
      <w:r w:rsidR="005F7846">
        <w:rPr>
          <w:rStyle w:val="FootnoteReference"/>
          <w:rFonts w:asciiTheme="minorHAnsi" w:hAnsiTheme="minorHAnsi" w:cstheme="minorHAnsi"/>
          <w:sz w:val="24"/>
        </w:rPr>
        <w:footnoteReference w:id="47"/>
      </w:r>
      <w:r w:rsidRPr="00026D20">
        <w:rPr>
          <w:rFonts w:asciiTheme="minorHAnsi" w:hAnsiTheme="minorHAnsi" w:cstheme="minorHAnsi"/>
          <w:sz w:val="24"/>
        </w:rPr>
        <w:t>.</w:t>
      </w:r>
    </w:p>
    <w:p w:rsidR="00FB57BE" w:rsidRPr="00026D20" w:rsidRDefault="00FB57BE" w:rsidP="00FB57BE">
      <w:pPr>
        <w:pStyle w:val="HRPUB-Paragraph"/>
        <w:ind w:firstLineChars="0" w:firstLine="0"/>
        <w:rPr>
          <w:rFonts w:asciiTheme="minorHAnsi" w:hAnsiTheme="minorHAnsi" w:cstheme="minorHAnsi"/>
          <w:bCs/>
          <w:color w:val="000000"/>
          <w:sz w:val="24"/>
          <w:lang w:val="id-ID" w:eastAsia="id-ID"/>
        </w:rPr>
      </w:pPr>
      <w:r w:rsidRPr="00026D20">
        <w:rPr>
          <w:rFonts w:asciiTheme="minorHAnsi" w:hAnsiTheme="minorHAnsi" w:cstheme="minorHAnsi"/>
          <w:sz w:val="24"/>
        </w:rPr>
        <w:t xml:space="preserve">Environmental changes, such as chemical, physical, and biological differences, are the primary cause of concern in the former </w:t>
      </w:r>
      <w:proofErr w:type="gramStart"/>
      <w:r w:rsidRPr="00026D20">
        <w:rPr>
          <w:rFonts w:asciiTheme="minorHAnsi" w:hAnsiTheme="minorHAnsi" w:cstheme="minorHAnsi"/>
          <w:sz w:val="24"/>
        </w:rPr>
        <w:t>mine</w:t>
      </w:r>
      <w:proofErr w:type="gramEnd"/>
      <w:r w:rsidRPr="00026D20">
        <w:rPr>
          <w:rFonts w:asciiTheme="minorHAnsi" w:hAnsiTheme="minorHAnsi" w:cstheme="minorHAnsi"/>
          <w:sz w:val="24"/>
        </w:rPr>
        <w:t xml:space="preserve"> area. The environmental impact of mining is primarily the result of the extraction and disposal of rock waste, the processing of ore, and the operations of processing plants. The environment is significantly altered by mining. Consequently, we require a plan that is mature and adheres to the criteria outlined for the closure of former mining pits. The plan for post-mining land use must be followed by progressive mine rehabilitation activities </w:t>
      </w:r>
      <w:r w:rsidR="005F7846">
        <w:rPr>
          <w:rStyle w:val="FootnoteReference"/>
          <w:rFonts w:asciiTheme="minorHAnsi" w:hAnsiTheme="minorHAnsi" w:cstheme="minorHAnsi"/>
          <w:sz w:val="24"/>
        </w:rPr>
        <w:footnoteReference w:id="48"/>
      </w:r>
      <w:r w:rsidRPr="00026D20">
        <w:rPr>
          <w:rFonts w:asciiTheme="minorHAnsi" w:hAnsiTheme="minorHAnsi" w:cstheme="minorHAnsi"/>
          <w:sz w:val="24"/>
        </w:rPr>
        <w:t>.</w:t>
      </w:r>
      <w:r w:rsidRPr="00026D20">
        <w:rPr>
          <w:rFonts w:asciiTheme="minorHAnsi" w:hAnsiTheme="minorHAnsi" w:cstheme="minorHAnsi"/>
          <w:bCs/>
          <w:color w:val="000000"/>
          <w:sz w:val="24"/>
          <w:lang w:val="id-ID" w:eastAsia="id-ID"/>
        </w:rPr>
        <w:t xml:space="preserve"> Financing for reclamation and post-mining guarantees will be achieved at a rate of 93.42 percent for reclamation guarantees and 92.68 percent for post-mining guarantees in 2020 </w:t>
      </w:r>
      <w:r w:rsidR="005F7846">
        <w:rPr>
          <w:rStyle w:val="FootnoteReference"/>
          <w:rFonts w:asciiTheme="minorHAnsi" w:hAnsiTheme="minorHAnsi" w:cstheme="minorHAnsi"/>
          <w:sz w:val="24"/>
        </w:rPr>
        <w:footnoteReference w:id="49"/>
      </w:r>
      <w:r w:rsidRPr="00026D20">
        <w:rPr>
          <w:rFonts w:asciiTheme="minorHAnsi" w:hAnsiTheme="minorHAnsi" w:cstheme="minorHAnsi"/>
          <w:sz w:val="24"/>
        </w:rPr>
        <w:t>.</w:t>
      </w:r>
      <w:r w:rsidRPr="00026D20">
        <w:rPr>
          <w:rFonts w:asciiTheme="minorHAnsi" w:hAnsiTheme="minorHAnsi" w:cstheme="minorHAnsi"/>
          <w:bCs/>
          <w:color w:val="000000"/>
          <w:sz w:val="24"/>
          <w:lang w:val="id-ID" w:eastAsia="id-ID"/>
        </w:rPr>
        <w:t xml:space="preserve">   </w:t>
      </w:r>
    </w:p>
    <w:p w:rsidR="00FB57BE" w:rsidRDefault="00FB57BE" w:rsidP="00FB57BE">
      <w:pPr>
        <w:pStyle w:val="HRPUB-Paragraph"/>
        <w:ind w:firstLineChars="0" w:firstLine="0"/>
        <w:rPr>
          <w:rFonts w:asciiTheme="minorHAnsi" w:hAnsiTheme="minorHAnsi" w:cstheme="minorHAnsi"/>
          <w:bCs/>
          <w:color w:val="000000"/>
          <w:sz w:val="24"/>
          <w:lang w:val="id-ID" w:eastAsia="id-ID"/>
        </w:rPr>
      </w:pPr>
      <w:r w:rsidRPr="00026D20">
        <w:rPr>
          <w:rFonts w:asciiTheme="minorHAnsi" w:hAnsiTheme="minorHAnsi" w:cstheme="minorHAnsi"/>
          <w:sz w:val="24"/>
        </w:rPr>
        <w:t xml:space="preserve">According to the records of the Directorate General of Minerals and Coal at the Ministry of Energy and Mineral Resources, as of June 2018, 60% or approximately 1,569 IUP (Mining Business Permit) holders from PMDN (Domestic Investments) did not provide reclamation guarantee funds </w:t>
      </w:r>
      <w:r w:rsidR="005F7846">
        <w:rPr>
          <w:rStyle w:val="FootnoteReference"/>
          <w:rFonts w:asciiTheme="minorHAnsi" w:hAnsiTheme="minorHAnsi" w:cstheme="minorHAnsi"/>
          <w:sz w:val="24"/>
        </w:rPr>
        <w:footnoteReference w:id="50"/>
      </w:r>
      <w:r w:rsidRPr="00026D20">
        <w:rPr>
          <w:rStyle w:val="FootnoteReference"/>
          <w:rFonts w:asciiTheme="minorHAnsi" w:hAnsiTheme="minorHAnsi" w:cstheme="minorHAnsi"/>
          <w:sz w:val="24"/>
        </w:rPr>
        <w:t>.</w:t>
      </w:r>
      <w:r w:rsidRPr="00026D20">
        <w:rPr>
          <w:rFonts w:asciiTheme="minorHAnsi" w:hAnsiTheme="minorHAnsi" w:cstheme="minorHAnsi"/>
          <w:bCs/>
          <w:color w:val="000000"/>
          <w:sz w:val="24"/>
          <w:lang w:val="id-ID" w:eastAsia="id-ID"/>
        </w:rPr>
        <w:t xml:space="preserve"> The Ministry of Energy and Mineral Resources reported in 2019 that 2,966 companies out of a total of 4,867 had placed new reclamation guarantees. The remainder, approximately 1,901, do not have a contract. Then, 4,655 out of 4,867 businesses are IUP PMDN businesses, of which 2,760 have placed reclamation guarantees and 1,895 have not</w:t>
      </w:r>
      <w:r w:rsidRPr="00026D20">
        <w:rPr>
          <w:rFonts w:asciiTheme="minorHAnsi" w:hAnsiTheme="minorHAnsi" w:cstheme="minorHAnsi"/>
          <w:bCs/>
          <w:color w:val="000000"/>
          <w:sz w:val="24"/>
          <w:lang w:eastAsia="id-ID"/>
        </w:rPr>
        <w:t xml:space="preserve"> </w:t>
      </w:r>
      <w:r w:rsidR="005F7846">
        <w:rPr>
          <w:rStyle w:val="FootnoteReference"/>
          <w:rFonts w:asciiTheme="minorHAnsi" w:hAnsiTheme="minorHAnsi" w:cstheme="minorHAnsi"/>
          <w:sz w:val="24"/>
        </w:rPr>
        <w:footnoteReference w:id="51"/>
      </w:r>
      <w:r w:rsidRPr="00026D20">
        <w:rPr>
          <w:rFonts w:asciiTheme="minorHAnsi" w:hAnsiTheme="minorHAnsi" w:cstheme="minorHAnsi"/>
          <w:sz w:val="24"/>
        </w:rPr>
        <w:t>.</w:t>
      </w:r>
      <w:r w:rsidRPr="00026D20">
        <w:rPr>
          <w:rFonts w:asciiTheme="minorHAnsi" w:hAnsiTheme="minorHAnsi" w:cstheme="minorHAnsi"/>
          <w:bCs/>
          <w:color w:val="000000"/>
          <w:sz w:val="24"/>
          <w:lang w:val="id-ID" w:eastAsia="id-ID"/>
        </w:rPr>
        <w:t xml:space="preserve"> In 2020, according to the Mining Advocacy Network, 3,092 mine pits remained unreclaimed. In addition, Indonesia has 11 steam power plants and 104 mineral and coal mining concessions covering an area of 1,6 million hectares, which is roughly half the size of Belgium</w:t>
      </w:r>
      <w:r w:rsidRPr="00026D20">
        <w:rPr>
          <w:rFonts w:asciiTheme="minorHAnsi" w:hAnsiTheme="minorHAnsi" w:cstheme="minorHAnsi"/>
          <w:bCs/>
          <w:color w:val="000000"/>
          <w:sz w:val="24"/>
          <w:lang w:eastAsia="id-ID"/>
        </w:rPr>
        <w:t xml:space="preserve"> </w:t>
      </w:r>
      <w:r w:rsidR="005F7846">
        <w:rPr>
          <w:rStyle w:val="FootnoteReference"/>
          <w:rFonts w:asciiTheme="minorHAnsi" w:hAnsiTheme="minorHAnsi" w:cstheme="minorHAnsi"/>
          <w:color w:val="000000"/>
          <w:sz w:val="24"/>
          <w:shd w:val="clear" w:color="auto" w:fill="FFFFFF"/>
        </w:rPr>
        <w:footnoteReference w:id="52"/>
      </w:r>
      <w:r w:rsidRPr="00026D20">
        <w:rPr>
          <w:rFonts w:asciiTheme="minorHAnsi" w:hAnsiTheme="minorHAnsi" w:cstheme="minorHAnsi"/>
          <w:bCs/>
          <w:color w:val="000000"/>
          <w:sz w:val="24"/>
          <w:lang w:eastAsia="id-ID"/>
        </w:rPr>
        <w:t>.</w:t>
      </w:r>
      <w:r w:rsidRPr="00026D20">
        <w:rPr>
          <w:rFonts w:asciiTheme="minorHAnsi" w:hAnsiTheme="minorHAnsi" w:cstheme="minorHAnsi"/>
          <w:bCs/>
          <w:color w:val="000000"/>
          <w:sz w:val="24"/>
          <w:lang w:val="id-ID" w:eastAsia="id-ID"/>
        </w:rPr>
        <w:t xml:space="preserve"> By leaving many mining pits improperly managed and unclosed, many companies fail to </w:t>
      </w:r>
      <w:r w:rsidRPr="00026D20">
        <w:rPr>
          <w:rFonts w:asciiTheme="minorHAnsi" w:hAnsiTheme="minorHAnsi" w:cstheme="minorHAnsi"/>
          <w:bCs/>
          <w:color w:val="000000"/>
          <w:sz w:val="24"/>
          <w:lang w:val="id-ID" w:eastAsia="id-ID"/>
        </w:rPr>
        <w:lastRenderedPageBreak/>
        <w:t>meet their obligations for reclamation and post-mining activities. It resulted in numerous deaths.</w:t>
      </w:r>
    </w:p>
    <w:p w:rsidR="00FB57BE" w:rsidRPr="00FB57BE" w:rsidRDefault="00FB57BE" w:rsidP="00FB57BE">
      <w:pPr>
        <w:pStyle w:val="HRPUB-Paragraph"/>
        <w:ind w:firstLineChars="0" w:firstLine="0"/>
        <w:rPr>
          <w:rFonts w:asciiTheme="minorHAnsi" w:hAnsiTheme="minorHAnsi" w:cstheme="minorHAnsi"/>
          <w:bCs/>
          <w:color w:val="000000"/>
          <w:sz w:val="24"/>
          <w:lang w:val="id-ID" w:eastAsia="id-ID"/>
        </w:rPr>
      </w:pPr>
      <w:r w:rsidRPr="00026D20">
        <w:rPr>
          <w:rFonts w:asciiTheme="minorHAnsi" w:hAnsiTheme="minorHAnsi" w:cstheme="minorHAnsi"/>
          <w:bCs/>
          <w:color w:val="000000"/>
          <w:sz w:val="24"/>
          <w:lang w:val="id-ID" w:eastAsia="id-ID"/>
        </w:rPr>
        <w:t xml:space="preserve">The post-coal mining pit in East Kalimantan led to the sinking of the community; between 2011 and 2018, 32 people, the majority of whom were children, died. Nationally, 115 individuals drowned in abandoned mine pits between 2014 and 2018 </w:t>
      </w:r>
      <w:r w:rsidR="005F7846">
        <w:rPr>
          <w:rStyle w:val="FootnoteReference"/>
          <w:rFonts w:asciiTheme="minorHAnsi" w:hAnsiTheme="minorHAnsi" w:cstheme="minorHAnsi"/>
          <w:sz w:val="24"/>
        </w:rPr>
        <w:footnoteReference w:id="53"/>
      </w:r>
      <w:r w:rsidRPr="00026D20">
        <w:rPr>
          <w:rFonts w:asciiTheme="minorHAnsi" w:hAnsiTheme="minorHAnsi" w:cstheme="minorHAnsi"/>
          <w:sz w:val="24"/>
        </w:rPr>
        <w:t xml:space="preserve">. </w:t>
      </w:r>
      <w:r w:rsidRPr="00026D20">
        <w:rPr>
          <w:rFonts w:asciiTheme="minorHAnsi" w:hAnsiTheme="minorHAnsi" w:cstheme="minorHAnsi"/>
          <w:bCs/>
          <w:color w:val="000000"/>
          <w:sz w:val="24"/>
          <w:lang w:val="id-ID" w:eastAsia="id-ID"/>
        </w:rPr>
        <w:t xml:space="preserve">One of the coercive measures used to address an issue is the imposition of sanctions against mining business operators who fail to fulfill their obligations. This is because the legislative mandate necessitates the existence of coercive consequences or punishments </w:t>
      </w:r>
      <w:r w:rsidR="005F7846">
        <w:rPr>
          <w:rStyle w:val="FootnoteReference"/>
          <w:rFonts w:asciiTheme="minorHAnsi" w:hAnsiTheme="minorHAnsi" w:cstheme="minorHAnsi"/>
          <w:sz w:val="24"/>
        </w:rPr>
        <w:footnoteReference w:id="54"/>
      </w:r>
      <w:r w:rsidRPr="00026D20">
        <w:rPr>
          <w:rFonts w:asciiTheme="minorHAnsi" w:hAnsiTheme="minorHAnsi" w:cstheme="minorHAnsi"/>
          <w:sz w:val="24"/>
        </w:rPr>
        <w:t>.</w:t>
      </w:r>
      <w:r w:rsidRPr="00026D20">
        <w:rPr>
          <w:rFonts w:asciiTheme="minorHAnsi" w:hAnsiTheme="minorHAnsi" w:cstheme="minorHAnsi"/>
          <w:bCs/>
          <w:color w:val="000000"/>
          <w:sz w:val="24"/>
          <w:lang w:val="id-ID" w:eastAsia="id-ID"/>
        </w:rPr>
        <w:t xml:space="preserve"> Environmental management from an ecological perspective must be governed by legal standards and take into account the level of public awareness and action in the global environment, as well as applicable international legal instruments. In order to achieve the goals of environmentally sustainable development, it is still necessary to refine the general concept of sound environmental management </w:t>
      </w:r>
      <w:r w:rsidR="005F7846">
        <w:rPr>
          <w:rStyle w:val="FootnoteReference"/>
          <w:rFonts w:asciiTheme="minorHAnsi" w:hAnsiTheme="minorHAnsi" w:cstheme="minorHAnsi"/>
          <w:sz w:val="24"/>
        </w:rPr>
        <w:footnoteReference w:id="55"/>
      </w:r>
      <w:r w:rsidRPr="00026D20">
        <w:rPr>
          <w:rFonts w:asciiTheme="minorHAnsi" w:hAnsiTheme="minorHAnsi" w:cstheme="minorHAnsi"/>
          <w:sz w:val="24"/>
        </w:rPr>
        <w:t xml:space="preserve">. In numerous laws and regulations, the terminology, principles, scope, and procedure for implementing Social and Environmental Responsibility have not been uniform. This is because different rules use different words to talk about Corporate Social Responsibility (CSR) requirements </w:t>
      </w:r>
      <w:r w:rsidR="005F7846">
        <w:rPr>
          <w:rStyle w:val="FootnoteReference"/>
          <w:rFonts w:asciiTheme="minorHAnsi" w:hAnsiTheme="minorHAnsi" w:cstheme="minorHAnsi"/>
          <w:sz w:val="24"/>
        </w:rPr>
        <w:footnoteReference w:id="56"/>
      </w:r>
      <w:r w:rsidRPr="00026D20">
        <w:rPr>
          <w:rFonts w:asciiTheme="minorHAnsi" w:hAnsiTheme="minorHAnsi" w:cstheme="minorHAnsi"/>
          <w:bCs/>
          <w:color w:val="000000"/>
          <w:sz w:val="24"/>
          <w:lang w:eastAsia="id-ID"/>
        </w:rPr>
        <w:t>.</w:t>
      </w:r>
    </w:p>
    <w:p w:rsidR="00FB57BE" w:rsidRPr="00026D20" w:rsidRDefault="00FB57BE" w:rsidP="00FB57BE">
      <w:pPr>
        <w:pStyle w:val="HRPUB-Paragraph"/>
        <w:ind w:firstLineChars="0" w:firstLine="0"/>
        <w:rPr>
          <w:rFonts w:asciiTheme="minorHAnsi" w:hAnsiTheme="minorHAnsi" w:cstheme="minorHAnsi"/>
          <w:bCs/>
          <w:color w:val="000000"/>
          <w:sz w:val="24"/>
          <w:lang w:eastAsia="id-ID"/>
        </w:rPr>
      </w:pPr>
      <w:r w:rsidRPr="00026D20">
        <w:rPr>
          <w:rFonts w:asciiTheme="minorHAnsi" w:hAnsiTheme="minorHAnsi" w:cstheme="minorHAnsi"/>
          <w:sz w:val="24"/>
        </w:rPr>
        <w:t xml:space="preserve">The corporation is liable for any negative effects caused by mining activity. This includes environmental degradation, post-mining development, climate change, and the living conditions of affected communities in mining areas. Downstream strategies must be optimized by transforming raw materials into a secondary product with a higher value-added—mining. The downstream orientation of Indonesia's industrial sector has an effect on the innovative potential of the region's economy. This industry's downstream is the optimal strategy for the nation. Also, the use of space in sectoral programs includes putting mining areas back to how they were before they were mined. This is done so that the welfare of the community and the environment are not put at risk </w:t>
      </w:r>
      <w:r w:rsidR="005F7846">
        <w:rPr>
          <w:rStyle w:val="FootnoteReference"/>
          <w:rFonts w:asciiTheme="minorHAnsi" w:hAnsiTheme="minorHAnsi" w:cstheme="minorHAnsi"/>
          <w:bCs/>
          <w:color w:val="000000"/>
          <w:sz w:val="24"/>
          <w:lang w:val="id-ID" w:eastAsia="id-ID"/>
        </w:rPr>
        <w:footnoteReference w:id="57"/>
      </w:r>
      <w:r w:rsidRPr="00026D20">
        <w:rPr>
          <w:rFonts w:asciiTheme="minorHAnsi" w:hAnsiTheme="minorHAnsi" w:cstheme="minorHAnsi"/>
          <w:bCs/>
          <w:color w:val="000000"/>
          <w:sz w:val="24"/>
          <w:lang w:eastAsia="id-ID"/>
        </w:rPr>
        <w:t>.</w:t>
      </w:r>
      <w:r w:rsidRPr="00026D20">
        <w:rPr>
          <w:rFonts w:asciiTheme="minorHAnsi" w:hAnsiTheme="minorHAnsi" w:cstheme="minorHAnsi"/>
          <w:bCs/>
          <w:color w:val="000000"/>
          <w:sz w:val="24"/>
          <w:lang w:val="id-ID" w:eastAsia="id-ID"/>
        </w:rPr>
        <w:t xml:space="preserve"> The true problem has existed for a long time and frequently manifests in the Minerva Law, specifically in management. Prior to 2018, 123 mining companies had exploration and exploitation permits in Indonesia. In addition to corporations with keys, numerous mining companies lack tickets (illegal). In Indonesia, the Ministry of Environment and Forestry identified 8,683 instances of illegal mining spanning 500 hectares (Ha) </w:t>
      </w:r>
      <w:r w:rsidR="005F7846">
        <w:rPr>
          <w:rStyle w:val="FootnoteReference"/>
          <w:rFonts w:asciiTheme="minorHAnsi" w:hAnsiTheme="minorHAnsi" w:cstheme="minorHAnsi"/>
          <w:bCs/>
          <w:color w:val="000000"/>
          <w:sz w:val="24"/>
          <w:lang w:val="id-ID" w:eastAsia="id-ID"/>
        </w:rPr>
        <w:footnoteReference w:id="58"/>
      </w:r>
      <w:r w:rsidRPr="00026D20">
        <w:rPr>
          <w:rFonts w:asciiTheme="minorHAnsi" w:hAnsiTheme="minorHAnsi" w:cstheme="minorHAnsi"/>
          <w:bCs/>
          <w:color w:val="000000"/>
          <w:sz w:val="24"/>
          <w:lang w:eastAsia="id-ID"/>
        </w:rPr>
        <w:t>.</w:t>
      </w:r>
    </w:p>
    <w:p w:rsidR="00FB57BE" w:rsidRPr="00026D20" w:rsidRDefault="00FB57BE" w:rsidP="00FB57BE">
      <w:pPr>
        <w:pStyle w:val="HRPUB-Paragraph"/>
        <w:ind w:firstLineChars="0" w:firstLine="0"/>
        <w:rPr>
          <w:rFonts w:asciiTheme="minorHAnsi" w:hAnsiTheme="minorHAnsi" w:cstheme="minorHAnsi"/>
          <w:bCs/>
          <w:color w:val="000000"/>
          <w:sz w:val="24"/>
          <w:lang w:eastAsia="id-ID"/>
        </w:rPr>
      </w:pPr>
      <w:r w:rsidRPr="00026D20">
        <w:rPr>
          <w:rFonts w:asciiTheme="minorHAnsi" w:hAnsiTheme="minorHAnsi" w:cstheme="minorHAnsi"/>
          <w:sz w:val="24"/>
        </w:rPr>
        <w:t xml:space="preserve">Therefore, immediate action is necessary to resolve these problems. According to the mining strategy, the mining operation's negative effects must be mitigated in stages. Previous mining operations necessitated rapid reclamation. Naturally, Environmental impact analysis will be used to control and monitor the system at this time. Environmental impact analysis can be used as a guide when determining whether to engage in mining activities and as a prerequisite for obtaining a business license. In practice, however, Environmental impact analysis environmental feasibility study guidelines may not always produce the best results. The ecological permit system is linked to the need to make an Environmental impact analysis, which must be done </w:t>
      </w:r>
      <w:r w:rsidRPr="00026D20">
        <w:rPr>
          <w:rFonts w:asciiTheme="minorHAnsi" w:hAnsiTheme="minorHAnsi" w:cstheme="minorHAnsi"/>
          <w:sz w:val="24"/>
        </w:rPr>
        <w:lastRenderedPageBreak/>
        <w:t xml:space="preserve">before a business activity permit can be given </w:t>
      </w:r>
      <w:r w:rsidR="005F7846">
        <w:rPr>
          <w:rStyle w:val="FootnoteReference"/>
          <w:rFonts w:asciiTheme="minorHAnsi" w:hAnsiTheme="minorHAnsi" w:cstheme="minorHAnsi"/>
          <w:bCs/>
          <w:color w:val="000000"/>
          <w:sz w:val="24"/>
          <w:lang w:val="id-ID" w:eastAsia="id-ID"/>
        </w:rPr>
        <w:footnoteReference w:id="59"/>
      </w:r>
      <w:r w:rsidRPr="00026D20">
        <w:rPr>
          <w:rFonts w:asciiTheme="minorHAnsi" w:hAnsiTheme="minorHAnsi" w:cstheme="minorHAnsi"/>
          <w:bCs/>
          <w:color w:val="000000"/>
          <w:sz w:val="24"/>
          <w:lang w:eastAsia="id-ID"/>
        </w:rPr>
        <w:t xml:space="preserve">. </w:t>
      </w:r>
      <w:r w:rsidRPr="00026D20">
        <w:rPr>
          <w:rFonts w:asciiTheme="minorHAnsi" w:hAnsiTheme="minorHAnsi" w:cstheme="minorHAnsi"/>
          <w:sz w:val="24"/>
        </w:rPr>
        <w:t xml:space="preserve">According to the presented data, reclamation and post-mining activities continue to face a number of obstacles and disregard environmental concerns. Consequently, the government and numerous stakeholders must take measures to mitigate the negative effects of mining activities. Management and environmental sustainability must coexist in order to achieve sustainable and environmentally friendly development. The principles and requirements of safe mining are applied to reclamation and post-mining activities. In addition to the execution difficulties, the placement of reclamation and post-mining guarantee funds continues to be abhorrent. Numerous mining companies continue to disregard the distribution order of guarantee funds. This structure for the guarantee fund makes sense because compliance with post-mining recovery is low in practice because there isn't enough oversight and there are other problems with the way mining is run </w:t>
      </w:r>
      <w:r w:rsidR="005F7846">
        <w:rPr>
          <w:rStyle w:val="FootnoteReference"/>
          <w:rFonts w:asciiTheme="minorHAnsi" w:hAnsiTheme="minorHAnsi" w:cstheme="minorHAnsi"/>
          <w:bCs/>
          <w:color w:val="000000"/>
          <w:sz w:val="24"/>
          <w:lang w:val="id-ID" w:eastAsia="id-ID"/>
        </w:rPr>
        <w:footnoteReference w:id="60"/>
      </w:r>
      <w:r w:rsidRPr="00026D20">
        <w:rPr>
          <w:rFonts w:asciiTheme="minorHAnsi" w:hAnsiTheme="minorHAnsi" w:cstheme="minorHAnsi"/>
          <w:bCs/>
          <w:color w:val="000000"/>
          <w:sz w:val="24"/>
          <w:lang w:eastAsia="id-ID"/>
        </w:rPr>
        <w:t xml:space="preserve">.  </w:t>
      </w:r>
    </w:p>
    <w:p w:rsidR="00FB57BE" w:rsidRPr="00026D20" w:rsidRDefault="00FB57BE" w:rsidP="00FB57BE">
      <w:pPr>
        <w:pStyle w:val="HRPUB-Paragraph"/>
        <w:ind w:firstLineChars="0" w:firstLine="0"/>
        <w:rPr>
          <w:rFonts w:asciiTheme="minorHAnsi" w:hAnsiTheme="minorHAnsi" w:cstheme="minorHAnsi"/>
          <w:bCs/>
          <w:color w:val="000000"/>
          <w:sz w:val="24"/>
          <w:lang w:eastAsia="id-ID"/>
        </w:rPr>
      </w:pPr>
      <w:r w:rsidRPr="00026D20">
        <w:rPr>
          <w:rFonts w:asciiTheme="minorHAnsi" w:hAnsiTheme="minorHAnsi" w:cstheme="minorHAnsi"/>
          <w:sz w:val="24"/>
        </w:rPr>
        <w:t xml:space="preserve">Additionally, the state will incur losses in terms of company licenses and tax revenue, and illegal mining operations can wreak havoc on the ecosystem. Consequently, it is necessary to simplify the licensing procedure in order to make it less complicated and burdensome for mining company actors while still adhering to existing standards. Coordination between the federal and local governments in the resolution of business licensing issues is one of the legal measures that can be taken. Notably, the federal government and local governments must oversee the issuance of permits and the execution of mining activities. This will eventually coincide with the government's and mining companies' data and information accessibility to the community. A computerized system is needed to turn manual data entry into digital information that can be stored in a geographical database. This makes it possible to look at mining permits that used to overlap </w:t>
      </w:r>
      <w:r w:rsidR="005F7846">
        <w:rPr>
          <w:rStyle w:val="FootnoteReference"/>
          <w:rFonts w:asciiTheme="minorHAnsi" w:hAnsiTheme="minorHAnsi" w:cstheme="minorHAnsi"/>
          <w:bCs/>
          <w:color w:val="000000"/>
          <w:sz w:val="24"/>
          <w:lang w:val="id-ID" w:eastAsia="id-ID"/>
        </w:rPr>
        <w:footnoteReference w:id="61"/>
      </w:r>
      <w:r w:rsidRPr="00026D20">
        <w:rPr>
          <w:rFonts w:asciiTheme="minorHAnsi" w:hAnsiTheme="minorHAnsi" w:cstheme="minorHAnsi"/>
          <w:bCs/>
          <w:color w:val="000000"/>
          <w:sz w:val="24"/>
          <w:lang w:eastAsia="id-ID"/>
        </w:rPr>
        <w:t>.</w:t>
      </w:r>
    </w:p>
    <w:p w:rsidR="00FB57BE" w:rsidRPr="00026D20" w:rsidRDefault="00FB57BE" w:rsidP="00FB57BE">
      <w:pPr>
        <w:pStyle w:val="HRPUB-Paragraph"/>
        <w:ind w:firstLineChars="0" w:firstLine="0"/>
        <w:rPr>
          <w:rFonts w:asciiTheme="minorHAnsi" w:hAnsiTheme="minorHAnsi" w:cstheme="minorHAnsi"/>
          <w:bCs/>
          <w:color w:val="000000"/>
          <w:sz w:val="24"/>
          <w:lang w:eastAsia="id-ID"/>
        </w:rPr>
      </w:pPr>
      <w:r w:rsidRPr="00026D20">
        <w:rPr>
          <w:rFonts w:asciiTheme="minorHAnsi" w:hAnsiTheme="minorHAnsi" w:cstheme="minorHAnsi"/>
          <w:bCs/>
          <w:color w:val="000000"/>
          <w:sz w:val="24"/>
          <w:lang w:val="id-ID" w:eastAsia="id-ID"/>
        </w:rPr>
        <w:t xml:space="preserve">The establishment of a standard for reclamation and post-mining management is one of the measures that can be taken to address environmental concerns in mining regions, particularly those related to reclamation and post-mining management. Several abandoned mine pits continue to necessitate a policy strengthening the government's role in monitoring, assessing, and evaluating reclamation and post-mining implementation, according to field data. When it comes to environmental management, all decisions must adhere to a set of standards. Environmental standardization must be accompanied by stringent performance requirements and effective data utilization. Standardization will be implemented for company licensing, reclamation, and post-mining operations </w:t>
      </w:r>
      <w:r w:rsidR="005F7846">
        <w:rPr>
          <w:rStyle w:val="FootnoteReference"/>
          <w:rFonts w:asciiTheme="minorHAnsi" w:hAnsiTheme="minorHAnsi" w:cstheme="minorHAnsi"/>
          <w:bCs/>
          <w:color w:val="000000"/>
          <w:sz w:val="24"/>
          <w:lang w:val="id-ID" w:eastAsia="id-ID"/>
        </w:rPr>
        <w:footnoteReference w:id="62"/>
      </w:r>
      <w:r w:rsidRPr="00026D20">
        <w:rPr>
          <w:rFonts w:asciiTheme="minorHAnsi" w:hAnsiTheme="minorHAnsi" w:cstheme="minorHAnsi"/>
          <w:bCs/>
          <w:color w:val="000000"/>
          <w:sz w:val="24"/>
          <w:lang w:eastAsia="id-ID"/>
        </w:rPr>
        <w:t>.</w:t>
      </w:r>
    </w:p>
    <w:p w:rsidR="00FB57BE" w:rsidRPr="00026D20" w:rsidRDefault="00FB57BE" w:rsidP="00FB57BE">
      <w:pPr>
        <w:pStyle w:val="HRPUB-Paragraph"/>
        <w:ind w:firstLineChars="0" w:firstLine="0"/>
        <w:rPr>
          <w:rFonts w:asciiTheme="minorHAnsi" w:hAnsiTheme="minorHAnsi" w:cstheme="minorHAnsi"/>
          <w:bCs/>
          <w:color w:val="000000"/>
          <w:sz w:val="24"/>
          <w:lang w:eastAsia="id-ID"/>
        </w:rPr>
      </w:pPr>
      <w:r w:rsidRPr="00026D20">
        <w:rPr>
          <w:rFonts w:asciiTheme="minorHAnsi" w:hAnsiTheme="minorHAnsi" w:cstheme="minorHAnsi"/>
          <w:bCs/>
          <w:color w:val="000000"/>
          <w:sz w:val="24"/>
          <w:lang w:val="id-ID" w:eastAsia="id-ID"/>
        </w:rPr>
        <w:t>The guarantee funds will be managed with greater transparency and allocated according to their intended purpose. The federal government hopes that by standardizing reclamation and post-mining management, it will be able to strengthen oversight of guarantee fund placement in collaboration with local governments. It is essential to strengthening law enforcement against parties that have not complied with the law's reclamation and post-mining standards, as outlined in Article 4 paragraph 2 and Article 35 paragraph 4 of Law No. 3 of 2020.</w:t>
      </w:r>
      <w:r w:rsidR="005F7846">
        <w:rPr>
          <w:rStyle w:val="FootnoteReference"/>
          <w:rFonts w:asciiTheme="minorHAnsi" w:hAnsiTheme="minorHAnsi" w:cstheme="minorHAnsi"/>
          <w:bCs/>
          <w:color w:val="000000"/>
          <w:sz w:val="24"/>
          <w:lang w:val="id-ID" w:eastAsia="id-ID"/>
        </w:rPr>
        <w:footnoteReference w:id="63"/>
      </w:r>
      <w:r w:rsidRPr="00026D20">
        <w:rPr>
          <w:rFonts w:asciiTheme="minorHAnsi" w:hAnsiTheme="minorHAnsi" w:cstheme="minorHAnsi"/>
          <w:bCs/>
          <w:color w:val="000000"/>
          <w:sz w:val="24"/>
          <w:lang w:val="id-ID" w:eastAsia="id-ID"/>
        </w:rPr>
        <w:t xml:space="preserve"> According to Article 4 </w:t>
      </w:r>
      <w:r w:rsidRPr="00026D20">
        <w:rPr>
          <w:rFonts w:asciiTheme="minorHAnsi" w:hAnsiTheme="minorHAnsi" w:cstheme="minorHAnsi"/>
          <w:bCs/>
          <w:color w:val="000000"/>
          <w:sz w:val="24"/>
          <w:lang w:val="id-ID" w:eastAsia="id-ID"/>
        </w:rPr>
        <w:lastRenderedPageBreak/>
        <w:t xml:space="preserve">paragraph 2 of Law No. 3 of 2020, the Central Government is responsible for State Control of Minerals and Coal, as defined in paragraph (1), in accordance with the terms of this Law. While Article 35 paragraph 4 of Law No. 3 of 2020 specifies that the Central Government may delegate to the provincial regional government the authority to award business licenses, as defined in paragraph (2), in accordance with the provisions of the law, the provincial regional government may not delegate this authority to the Central Government </w:t>
      </w:r>
      <w:r w:rsidR="005F7846">
        <w:rPr>
          <w:rStyle w:val="FootnoteReference"/>
          <w:rFonts w:asciiTheme="minorHAnsi" w:hAnsiTheme="minorHAnsi" w:cstheme="minorHAnsi"/>
          <w:bCs/>
          <w:color w:val="000000"/>
          <w:sz w:val="24"/>
          <w:lang w:val="id-ID" w:eastAsia="id-ID"/>
        </w:rPr>
        <w:footnoteReference w:id="64"/>
      </w:r>
      <w:r w:rsidRPr="00026D20">
        <w:rPr>
          <w:rFonts w:asciiTheme="minorHAnsi" w:hAnsiTheme="minorHAnsi" w:cstheme="minorHAnsi"/>
          <w:bCs/>
          <w:color w:val="000000"/>
          <w:sz w:val="24"/>
          <w:lang w:eastAsia="id-ID"/>
        </w:rPr>
        <w:t>.</w:t>
      </w:r>
    </w:p>
    <w:p w:rsidR="00FB57BE" w:rsidRPr="00026D20" w:rsidRDefault="00FB57BE" w:rsidP="00FB57BE">
      <w:pPr>
        <w:pStyle w:val="HRPUB-Paragraph"/>
        <w:ind w:firstLineChars="0" w:firstLine="0"/>
        <w:rPr>
          <w:rFonts w:asciiTheme="minorHAnsi" w:eastAsia="SimSun" w:hAnsiTheme="minorHAnsi" w:cstheme="minorHAnsi"/>
          <w:sz w:val="24"/>
        </w:rPr>
      </w:pPr>
      <w:r w:rsidRPr="00026D20">
        <w:rPr>
          <w:rFonts w:asciiTheme="minorHAnsi" w:hAnsiTheme="minorHAnsi" w:cstheme="minorHAnsi"/>
          <w:sz w:val="24"/>
        </w:rPr>
        <w:t>In order to standardize reclamation and post-mining management, it is necessary to establish regulations governing management practices, management systems, reporting, and oversight of reclamation and post-mining implementation. Standardization will be an improvement over the current practice of setting environmental permits under the control of the Environmental impact analysis. A reclamation strategy should be in place in advance of mining operations, and land should be reclaimed in a planned manner. The policies can begin with licensing, oversight of post-mining land and waste management, and the creation of legislation that encourages green mining and environmental conservation. Standardizing reclamation and management after mining is thought to help lessen the damage to the environment.</w:t>
      </w:r>
    </w:p>
    <w:p w:rsidR="00FB57BE" w:rsidRPr="008D2F11" w:rsidRDefault="00FB57BE" w:rsidP="00FB57BE">
      <w:pPr>
        <w:pStyle w:val="ListParagraph"/>
        <w:spacing w:before="120" w:after="0" w:line="240" w:lineRule="auto"/>
        <w:ind w:left="0"/>
        <w:contextualSpacing w:val="0"/>
        <w:jc w:val="both"/>
        <w:rPr>
          <w:rFonts w:asciiTheme="majorHAnsi" w:hAnsiTheme="majorHAnsi" w:cstheme="majorHAnsi"/>
          <w:sz w:val="24"/>
          <w:szCs w:val="24"/>
        </w:rPr>
      </w:pPr>
    </w:p>
    <w:bookmarkEnd w:id="2"/>
    <w:p w:rsidR="00200DA7" w:rsidRPr="007E163D" w:rsidRDefault="00200DA7" w:rsidP="007E163D">
      <w:pPr>
        <w:pStyle w:val="Heading1"/>
        <w:numPr>
          <w:ilvl w:val="0"/>
          <w:numId w:val="17"/>
        </w:numPr>
        <w:spacing w:before="0" w:after="0" w:line="240" w:lineRule="auto"/>
        <w:ind w:left="426" w:hanging="426"/>
        <w:jc w:val="both"/>
        <w:rPr>
          <w:rFonts w:asciiTheme="majorHAnsi" w:eastAsia="Arial Unicode MS" w:hAnsiTheme="majorHAnsi" w:cstheme="majorHAnsi"/>
          <w:b/>
          <w:color w:val="C00000"/>
          <w:szCs w:val="24"/>
          <w:lang w:val="en-GB"/>
        </w:rPr>
      </w:pPr>
      <w:r w:rsidRPr="007E163D">
        <w:rPr>
          <w:rFonts w:asciiTheme="majorHAnsi" w:eastAsia="Arial Unicode MS" w:hAnsiTheme="majorHAnsi" w:cstheme="majorHAnsi"/>
          <w:b/>
          <w:color w:val="C00000"/>
          <w:szCs w:val="24"/>
          <w:lang w:val="en-GB"/>
        </w:rPr>
        <w:t>Conclusion</w:t>
      </w:r>
    </w:p>
    <w:p w:rsidR="00FB57BE" w:rsidRPr="005F7846" w:rsidRDefault="00FB57BE" w:rsidP="005F7846">
      <w:pPr>
        <w:pStyle w:val="ListParagraph"/>
        <w:spacing w:after="0" w:line="240" w:lineRule="auto"/>
        <w:ind w:left="0"/>
        <w:contextualSpacing w:val="0"/>
        <w:jc w:val="both"/>
        <w:rPr>
          <w:rFonts w:asciiTheme="majorHAnsi" w:hAnsiTheme="majorHAnsi" w:cstheme="majorHAnsi"/>
          <w:sz w:val="24"/>
          <w:szCs w:val="24"/>
          <w:lang w:val="en-GB"/>
        </w:rPr>
      </w:pPr>
      <w:r w:rsidRPr="00026D20">
        <w:rPr>
          <w:rFonts w:asciiTheme="minorHAnsi" w:hAnsiTheme="minorHAnsi" w:cstheme="minorHAnsi"/>
          <w:sz w:val="24"/>
          <w:szCs w:val="24"/>
        </w:rPr>
        <w:t>On the basis of the discussion's outcomes, it can be concluded that reclamation is a process that aims to restore the order of disturbed land caused by mining activities. Mining operations are extremely intricate and hazardous. Each organization must implement reclamation and post-mining procedures. Nonetheless, the evidence presented suggests that reclamation and post-mining management are not yet optimal. Numerous open-pit mines continue to exist, causing pollution, land degradation, and even death. In addition, the company should create a fund for reclamation and post-mining guarantees. Nonetheless, numerous businesses continue to operate without a guarantee fund. Obviously, this poses a problem for Indonesia in terms of enforcing environmental laws in the mining industry. It is necessary to increase enforcement against those who do not comply with the reclamation and post-mining requirements of the law. Thus, a legal regulation can establish a law for any abuse of authority, violation of company commitments, and excellent environmental management by implementing environmentally sound and sustainable mining techniques. However, the revision of the Minerals and Coal Law sparked debate. ICEL (Indonesian Center for Environmental Law) is one of many parties that has criticized the Mineral and Coal Bill (draft as of May 11) in greater detail through a scientific analysis published in the press. ICEL's research focuses on issues such as: a) the division of authority between central and local governments; b) territory determination and licensing; c) supervision; d) recovery; and e) law enforcement. To achieve sustainable development is necessary a number of policies, such as licensing, overseeing land management after mining, waste management, and creating laws that encourage green mining and protect the environment.</w:t>
      </w:r>
    </w:p>
    <w:p w:rsidR="00FB57BE" w:rsidRPr="00223602" w:rsidRDefault="00FB57BE" w:rsidP="007326F3">
      <w:pPr>
        <w:pStyle w:val="ListParagraph"/>
        <w:spacing w:before="120" w:after="0" w:line="240" w:lineRule="auto"/>
        <w:ind w:left="0"/>
        <w:contextualSpacing w:val="0"/>
        <w:jc w:val="both"/>
        <w:rPr>
          <w:rFonts w:asciiTheme="majorHAnsi" w:hAnsiTheme="majorHAnsi" w:cstheme="majorHAnsi"/>
          <w:sz w:val="24"/>
          <w:szCs w:val="24"/>
        </w:rPr>
      </w:pPr>
    </w:p>
    <w:p w:rsidR="007B6169" w:rsidRPr="00F774C4" w:rsidRDefault="007B6169" w:rsidP="006520AB">
      <w:pPr>
        <w:pStyle w:val="ListParagraph"/>
        <w:spacing w:after="0" w:line="240" w:lineRule="auto"/>
        <w:ind w:left="200" w:hanging="200"/>
        <w:contextualSpacing w:val="0"/>
        <w:jc w:val="both"/>
        <w:rPr>
          <w:rFonts w:asciiTheme="majorHAnsi" w:hAnsiTheme="majorHAnsi" w:cstheme="majorHAnsi"/>
          <w:b/>
          <w:bCs/>
          <w:color w:val="C00000"/>
          <w:sz w:val="28"/>
          <w:szCs w:val="24"/>
          <w:lang w:val="id-ID"/>
        </w:rPr>
      </w:pPr>
      <w:r w:rsidRPr="00F774C4">
        <w:rPr>
          <w:rFonts w:asciiTheme="majorHAnsi" w:hAnsiTheme="majorHAnsi" w:cstheme="majorHAnsi"/>
          <w:b/>
          <w:bCs/>
          <w:color w:val="C00000"/>
          <w:sz w:val="28"/>
          <w:szCs w:val="24"/>
          <w:lang w:val="id-ID"/>
        </w:rPr>
        <w:lastRenderedPageBreak/>
        <w:t xml:space="preserve">References </w:t>
      </w:r>
    </w:p>
    <w:p w:rsidR="007B6169" w:rsidRPr="00223602" w:rsidRDefault="007B6169" w:rsidP="006520AB">
      <w:pPr>
        <w:widowControl w:val="0"/>
        <w:autoSpaceDE w:val="0"/>
        <w:autoSpaceDN w:val="0"/>
        <w:adjustRightInd w:val="0"/>
        <w:spacing w:after="0" w:line="240" w:lineRule="auto"/>
        <w:ind w:right="88" w:firstLine="720"/>
        <w:jc w:val="both"/>
        <w:rPr>
          <w:rFonts w:asciiTheme="majorHAnsi" w:hAnsiTheme="majorHAnsi" w:cstheme="majorHAnsi"/>
          <w:color w:val="000000"/>
          <w:sz w:val="24"/>
          <w:szCs w:val="24"/>
        </w:rPr>
      </w:pPr>
    </w:p>
    <w:p w:rsidR="005F7846" w:rsidRPr="005F7846" w:rsidRDefault="005F7846" w:rsidP="005F7846">
      <w:pPr>
        <w:widowControl w:val="0"/>
        <w:autoSpaceDE w:val="0"/>
        <w:autoSpaceDN w:val="0"/>
        <w:adjustRightInd w:val="0"/>
        <w:spacing w:after="0" w:line="240" w:lineRule="auto"/>
        <w:ind w:left="480" w:hanging="480"/>
        <w:jc w:val="both"/>
        <w:rPr>
          <w:rFonts w:asciiTheme="minorHAnsi" w:hAnsiTheme="minorHAnsi" w:cstheme="minorHAnsi"/>
          <w:noProof/>
          <w:sz w:val="24"/>
          <w:szCs w:val="24"/>
        </w:rPr>
      </w:pPr>
      <w:r w:rsidRPr="005F7846">
        <w:rPr>
          <w:rFonts w:asciiTheme="minorHAnsi" w:hAnsiTheme="minorHAnsi" w:cstheme="minorHAnsi"/>
          <w:sz w:val="24"/>
          <w:szCs w:val="24"/>
        </w:rPr>
        <w:fldChar w:fldCharType="begin" w:fldLock="1"/>
      </w:r>
      <w:r w:rsidRPr="005F7846">
        <w:rPr>
          <w:rFonts w:asciiTheme="minorHAnsi" w:hAnsiTheme="minorHAnsi" w:cstheme="minorHAnsi"/>
          <w:sz w:val="24"/>
          <w:szCs w:val="24"/>
        </w:rPr>
        <w:instrText xml:space="preserve">ADDIN Mendeley Bibliography CSL_BIBLIOGRAPHY </w:instrText>
      </w:r>
      <w:r w:rsidRPr="005F7846">
        <w:rPr>
          <w:rFonts w:asciiTheme="minorHAnsi" w:hAnsiTheme="minorHAnsi" w:cstheme="minorHAnsi"/>
          <w:sz w:val="24"/>
          <w:szCs w:val="24"/>
        </w:rPr>
        <w:fldChar w:fldCharType="separate"/>
      </w:r>
      <w:r w:rsidRPr="005F7846">
        <w:rPr>
          <w:rFonts w:asciiTheme="minorHAnsi" w:hAnsiTheme="minorHAnsi" w:cstheme="minorHAnsi"/>
          <w:noProof/>
          <w:sz w:val="24"/>
          <w:szCs w:val="24"/>
        </w:rPr>
        <w:t xml:space="preserve">Asmorojati, Anom Wahyu, Muhammad Nur, Indah Kusuma Dewi, and Hezlina Hashim, ‘The Impact of COVID-19 on Challenges and Protection Practices of Migrant Workers’ Rights’, </w:t>
      </w:r>
      <w:r w:rsidRPr="005F7846">
        <w:rPr>
          <w:rFonts w:asciiTheme="minorHAnsi" w:hAnsiTheme="minorHAnsi" w:cstheme="minorHAnsi"/>
          <w:i/>
          <w:iCs/>
          <w:noProof/>
          <w:sz w:val="24"/>
          <w:szCs w:val="24"/>
        </w:rPr>
        <w:t>Bestuur</w:t>
      </w:r>
      <w:r w:rsidRPr="005F7846">
        <w:rPr>
          <w:rFonts w:asciiTheme="minorHAnsi" w:hAnsiTheme="minorHAnsi" w:cstheme="minorHAnsi"/>
          <w:noProof/>
          <w:sz w:val="24"/>
          <w:szCs w:val="24"/>
        </w:rPr>
        <w:t>, 10.1 (2022), 43 &lt;https://doi.org/10.20961/bestuur.v10i1.60179&gt;</w:t>
      </w:r>
    </w:p>
    <w:p w:rsidR="005F7846" w:rsidRPr="005F7846" w:rsidRDefault="005F7846" w:rsidP="005F7846">
      <w:pPr>
        <w:widowControl w:val="0"/>
        <w:autoSpaceDE w:val="0"/>
        <w:autoSpaceDN w:val="0"/>
        <w:adjustRightInd w:val="0"/>
        <w:spacing w:after="0" w:line="240" w:lineRule="auto"/>
        <w:ind w:left="480" w:hanging="480"/>
        <w:jc w:val="both"/>
        <w:rPr>
          <w:rFonts w:asciiTheme="minorHAnsi" w:hAnsiTheme="minorHAnsi" w:cstheme="minorHAnsi"/>
          <w:noProof/>
          <w:sz w:val="24"/>
          <w:szCs w:val="24"/>
        </w:rPr>
      </w:pPr>
      <w:r w:rsidRPr="005F7846">
        <w:rPr>
          <w:rFonts w:asciiTheme="minorHAnsi" w:hAnsiTheme="minorHAnsi" w:cstheme="minorHAnsi"/>
          <w:noProof/>
          <w:sz w:val="24"/>
          <w:szCs w:val="24"/>
        </w:rPr>
        <w:t xml:space="preserve">Boyd, Roger, and Anastasia Ufimtseva, ‘Facilitating Peaceful Rise: The Increasing Role of Geopolitics and Domestic Legitimacy in China’s Energy Policy’, </w:t>
      </w:r>
      <w:r w:rsidRPr="005F7846">
        <w:rPr>
          <w:rFonts w:asciiTheme="minorHAnsi" w:hAnsiTheme="minorHAnsi" w:cstheme="minorHAnsi"/>
          <w:i/>
          <w:iCs/>
          <w:noProof/>
          <w:sz w:val="24"/>
          <w:szCs w:val="24"/>
        </w:rPr>
        <w:t>Energy Policy</w:t>
      </w:r>
      <w:r w:rsidRPr="005F7846">
        <w:rPr>
          <w:rFonts w:asciiTheme="minorHAnsi" w:hAnsiTheme="minorHAnsi" w:cstheme="minorHAnsi"/>
          <w:noProof/>
          <w:sz w:val="24"/>
          <w:szCs w:val="24"/>
        </w:rPr>
        <w:t>, 158.May (2021), 112532 &lt;https://doi.org/10.1016/j.enpol.2021.112532&gt;</w:t>
      </w:r>
    </w:p>
    <w:p w:rsidR="005F7846" w:rsidRPr="005F7846" w:rsidRDefault="005F7846" w:rsidP="005F7846">
      <w:pPr>
        <w:widowControl w:val="0"/>
        <w:autoSpaceDE w:val="0"/>
        <w:autoSpaceDN w:val="0"/>
        <w:adjustRightInd w:val="0"/>
        <w:spacing w:after="0" w:line="240" w:lineRule="auto"/>
        <w:ind w:left="480" w:hanging="480"/>
        <w:jc w:val="both"/>
        <w:rPr>
          <w:rFonts w:asciiTheme="minorHAnsi" w:hAnsiTheme="minorHAnsi" w:cstheme="minorHAnsi"/>
          <w:noProof/>
          <w:sz w:val="24"/>
          <w:szCs w:val="24"/>
        </w:rPr>
      </w:pPr>
      <w:r w:rsidRPr="005F7846">
        <w:rPr>
          <w:rFonts w:asciiTheme="minorHAnsi" w:hAnsiTheme="minorHAnsi" w:cstheme="minorHAnsi"/>
          <w:noProof/>
          <w:sz w:val="24"/>
          <w:szCs w:val="24"/>
        </w:rPr>
        <w:t xml:space="preserve">Dian, Resti, and Suviwat Jenvitchuwong, ‘Implementation of Halal Product Assurance in the Pharmaceutical Sector in Indonesia’, </w:t>
      </w:r>
      <w:r w:rsidRPr="005F7846">
        <w:rPr>
          <w:rFonts w:asciiTheme="minorHAnsi" w:hAnsiTheme="minorHAnsi" w:cstheme="minorHAnsi"/>
          <w:i/>
          <w:iCs/>
          <w:noProof/>
          <w:sz w:val="24"/>
          <w:szCs w:val="24"/>
        </w:rPr>
        <w:t>Journal of Human Rights, Culture and Legal System</w:t>
      </w:r>
      <w:r w:rsidRPr="005F7846">
        <w:rPr>
          <w:rFonts w:asciiTheme="minorHAnsi" w:hAnsiTheme="minorHAnsi" w:cstheme="minorHAnsi"/>
          <w:noProof/>
          <w:sz w:val="24"/>
          <w:szCs w:val="24"/>
        </w:rPr>
        <w:t>, 1.3 (2021), 164–79 &lt;https://doi.org/https://doi.org/10.53955/jhcls.v1i3.19&gt;</w:t>
      </w:r>
    </w:p>
    <w:p w:rsidR="005F7846" w:rsidRPr="005F7846" w:rsidRDefault="005F7846" w:rsidP="005F7846">
      <w:pPr>
        <w:widowControl w:val="0"/>
        <w:autoSpaceDE w:val="0"/>
        <w:autoSpaceDN w:val="0"/>
        <w:adjustRightInd w:val="0"/>
        <w:spacing w:after="0" w:line="240" w:lineRule="auto"/>
        <w:ind w:left="480" w:hanging="480"/>
        <w:jc w:val="both"/>
        <w:rPr>
          <w:rFonts w:asciiTheme="minorHAnsi" w:hAnsiTheme="minorHAnsi" w:cstheme="minorHAnsi"/>
          <w:noProof/>
          <w:sz w:val="24"/>
          <w:szCs w:val="24"/>
        </w:rPr>
      </w:pPr>
      <w:r w:rsidRPr="005F7846">
        <w:rPr>
          <w:rFonts w:asciiTheme="minorHAnsi" w:hAnsiTheme="minorHAnsi" w:cstheme="minorHAnsi"/>
          <w:noProof/>
          <w:sz w:val="24"/>
          <w:szCs w:val="24"/>
        </w:rPr>
        <w:t xml:space="preserve">Dutu, Richard, ‘Challenges and Policies in Indonesia’s Energy Sector’, </w:t>
      </w:r>
      <w:r w:rsidRPr="005F7846">
        <w:rPr>
          <w:rFonts w:asciiTheme="minorHAnsi" w:hAnsiTheme="minorHAnsi" w:cstheme="minorHAnsi"/>
          <w:i/>
          <w:iCs/>
          <w:noProof/>
          <w:sz w:val="24"/>
          <w:szCs w:val="24"/>
        </w:rPr>
        <w:t>Energy Policy</w:t>
      </w:r>
      <w:r w:rsidRPr="005F7846">
        <w:rPr>
          <w:rFonts w:asciiTheme="minorHAnsi" w:hAnsiTheme="minorHAnsi" w:cstheme="minorHAnsi"/>
          <w:noProof/>
          <w:sz w:val="24"/>
          <w:szCs w:val="24"/>
        </w:rPr>
        <w:t>, 2016, 513–19 &lt;https://doi.org/10.1016/j.enpol.2016.09.009&gt;</w:t>
      </w:r>
    </w:p>
    <w:p w:rsidR="005F7846" w:rsidRPr="005F7846" w:rsidRDefault="005F7846" w:rsidP="005F7846">
      <w:pPr>
        <w:widowControl w:val="0"/>
        <w:autoSpaceDE w:val="0"/>
        <w:autoSpaceDN w:val="0"/>
        <w:adjustRightInd w:val="0"/>
        <w:spacing w:after="0" w:line="240" w:lineRule="auto"/>
        <w:ind w:left="480" w:hanging="480"/>
        <w:jc w:val="both"/>
        <w:rPr>
          <w:rFonts w:asciiTheme="minorHAnsi" w:hAnsiTheme="minorHAnsi" w:cstheme="minorHAnsi"/>
          <w:noProof/>
          <w:sz w:val="24"/>
          <w:szCs w:val="24"/>
        </w:rPr>
      </w:pPr>
      <w:r w:rsidRPr="005F7846">
        <w:rPr>
          <w:rFonts w:asciiTheme="minorHAnsi" w:hAnsiTheme="minorHAnsi" w:cstheme="minorHAnsi"/>
          <w:noProof/>
          <w:sz w:val="24"/>
          <w:szCs w:val="24"/>
        </w:rPr>
        <w:t xml:space="preserve">Erina, Pane, and Adam Muhammad Yanis, ‘Reconstruction of Mining Policies on Justice in Lampung Province’, </w:t>
      </w:r>
      <w:r w:rsidRPr="005F7846">
        <w:rPr>
          <w:rFonts w:asciiTheme="minorHAnsi" w:hAnsiTheme="minorHAnsi" w:cstheme="minorHAnsi"/>
          <w:i/>
          <w:iCs/>
          <w:noProof/>
          <w:sz w:val="24"/>
          <w:szCs w:val="24"/>
        </w:rPr>
        <w:t>Bestuur</w:t>
      </w:r>
      <w:r w:rsidRPr="005F7846">
        <w:rPr>
          <w:rFonts w:asciiTheme="minorHAnsi" w:hAnsiTheme="minorHAnsi" w:cstheme="minorHAnsi"/>
          <w:noProof/>
          <w:sz w:val="24"/>
          <w:szCs w:val="24"/>
        </w:rPr>
        <w:t>, 8.2 (2020), 139 &lt;https://doi.org/10.20961/bestuur.v8i2.42830&gt;</w:t>
      </w:r>
    </w:p>
    <w:p w:rsidR="005F7846" w:rsidRPr="005F7846" w:rsidRDefault="005F7846" w:rsidP="005F7846">
      <w:pPr>
        <w:widowControl w:val="0"/>
        <w:autoSpaceDE w:val="0"/>
        <w:autoSpaceDN w:val="0"/>
        <w:adjustRightInd w:val="0"/>
        <w:spacing w:after="0" w:line="240" w:lineRule="auto"/>
        <w:ind w:left="480" w:hanging="480"/>
        <w:jc w:val="both"/>
        <w:rPr>
          <w:rFonts w:asciiTheme="minorHAnsi" w:hAnsiTheme="minorHAnsi" w:cstheme="minorHAnsi"/>
          <w:noProof/>
          <w:sz w:val="24"/>
          <w:szCs w:val="24"/>
        </w:rPr>
      </w:pPr>
      <w:r w:rsidRPr="005F7846">
        <w:rPr>
          <w:rFonts w:asciiTheme="minorHAnsi" w:hAnsiTheme="minorHAnsi" w:cstheme="minorHAnsi"/>
          <w:noProof/>
          <w:sz w:val="24"/>
          <w:szCs w:val="24"/>
        </w:rPr>
        <w:t xml:space="preserve">Fachlevi, Teuku Ade, Eka Intan Keumala Putri, and Sahat M.H. Simanjuntak, ‘Dampak Dan Evaluasi Kebijakan Pertambangan Batubara Di Kecamatan Mereubo’, </w:t>
      </w:r>
      <w:r w:rsidRPr="005F7846">
        <w:rPr>
          <w:rFonts w:asciiTheme="minorHAnsi" w:hAnsiTheme="minorHAnsi" w:cstheme="minorHAnsi"/>
          <w:i/>
          <w:iCs/>
          <w:noProof/>
          <w:sz w:val="24"/>
          <w:szCs w:val="24"/>
        </w:rPr>
        <w:t>RISALAH KEBIJAKAN PERTANIAN DAN LINGKUNGAN: Rumusan Kajian Strategis Bidang Pertanian Dan Lingkungan</w:t>
      </w:r>
      <w:r w:rsidRPr="005F7846">
        <w:rPr>
          <w:rFonts w:asciiTheme="minorHAnsi" w:hAnsiTheme="minorHAnsi" w:cstheme="minorHAnsi"/>
          <w:noProof/>
          <w:sz w:val="24"/>
          <w:szCs w:val="24"/>
        </w:rPr>
        <w:t>, 2.2 (2016), 170 &lt;https://doi.org/10.20957/jkebijakan.v2i2.10989&gt;</w:t>
      </w:r>
    </w:p>
    <w:p w:rsidR="005F7846" w:rsidRPr="005F7846" w:rsidRDefault="005F7846" w:rsidP="005F7846">
      <w:pPr>
        <w:widowControl w:val="0"/>
        <w:autoSpaceDE w:val="0"/>
        <w:autoSpaceDN w:val="0"/>
        <w:adjustRightInd w:val="0"/>
        <w:spacing w:after="0" w:line="240" w:lineRule="auto"/>
        <w:ind w:left="480" w:hanging="480"/>
        <w:jc w:val="both"/>
        <w:rPr>
          <w:rFonts w:asciiTheme="minorHAnsi" w:hAnsiTheme="minorHAnsi" w:cstheme="minorHAnsi"/>
          <w:noProof/>
          <w:sz w:val="24"/>
          <w:szCs w:val="24"/>
        </w:rPr>
      </w:pPr>
      <w:r w:rsidRPr="005F7846">
        <w:rPr>
          <w:rFonts w:asciiTheme="minorHAnsi" w:hAnsiTheme="minorHAnsi" w:cstheme="minorHAnsi"/>
          <w:noProof/>
          <w:sz w:val="24"/>
          <w:szCs w:val="24"/>
        </w:rPr>
        <w:t xml:space="preserve">Ganhammar, Kajsa, ‘The Effect of Regulatory Uncertainty in Green Certificate Markets: Evidence from the Swedish-Norwegian Market’, </w:t>
      </w:r>
      <w:r w:rsidRPr="005F7846">
        <w:rPr>
          <w:rFonts w:asciiTheme="minorHAnsi" w:hAnsiTheme="minorHAnsi" w:cstheme="minorHAnsi"/>
          <w:i/>
          <w:iCs/>
          <w:noProof/>
          <w:sz w:val="24"/>
          <w:szCs w:val="24"/>
        </w:rPr>
        <w:t>Energy Policy</w:t>
      </w:r>
      <w:r w:rsidRPr="005F7846">
        <w:rPr>
          <w:rFonts w:asciiTheme="minorHAnsi" w:hAnsiTheme="minorHAnsi" w:cstheme="minorHAnsi"/>
          <w:noProof/>
          <w:sz w:val="24"/>
          <w:szCs w:val="24"/>
        </w:rPr>
        <w:t>, 158.February (2021), 112583 &lt;https://doi.org/10.1016/j.enpol.2021.112583&gt;</w:t>
      </w:r>
    </w:p>
    <w:p w:rsidR="005F7846" w:rsidRPr="005F7846" w:rsidRDefault="005F7846" w:rsidP="005F7846">
      <w:pPr>
        <w:widowControl w:val="0"/>
        <w:autoSpaceDE w:val="0"/>
        <w:autoSpaceDN w:val="0"/>
        <w:adjustRightInd w:val="0"/>
        <w:spacing w:after="0" w:line="240" w:lineRule="auto"/>
        <w:ind w:left="480" w:hanging="480"/>
        <w:jc w:val="both"/>
        <w:rPr>
          <w:rFonts w:asciiTheme="minorHAnsi" w:hAnsiTheme="minorHAnsi" w:cstheme="minorHAnsi"/>
          <w:noProof/>
          <w:sz w:val="24"/>
          <w:szCs w:val="24"/>
        </w:rPr>
      </w:pPr>
      <w:r w:rsidRPr="005F7846">
        <w:rPr>
          <w:rFonts w:asciiTheme="minorHAnsi" w:hAnsiTheme="minorHAnsi" w:cstheme="minorHAnsi"/>
          <w:noProof/>
          <w:sz w:val="24"/>
          <w:szCs w:val="24"/>
        </w:rPr>
        <w:t xml:space="preserve">Governance, Towards Good, ‘Reduce Corruption in Public Procurement: The Effort Towards Good Governance’, </w:t>
      </w:r>
      <w:r w:rsidRPr="005F7846">
        <w:rPr>
          <w:rFonts w:asciiTheme="minorHAnsi" w:hAnsiTheme="minorHAnsi" w:cstheme="minorHAnsi"/>
          <w:i/>
          <w:iCs/>
          <w:noProof/>
          <w:sz w:val="24"/>
          <w:szCs w:val="24"/>
        </w:rPr>
        <w:t>Bestuur</w:t>
      </w:r>
      <w:r w:rsidRPr="005F7846">
        <w:rPr>
          <w:rFonts w:asciiTheme="minorHAnsi" w:hAnsiTheme="minorHAnsi" w:cstheme="minorHAnsi"/>
          <w:noProof/>
          <w:sz w:val="24"/>
          <w:szCs w:val="24"/>
        </w:rPr>
        <w:t>, 10.1 (2022), 33–42</w:t>
      </w:r>
    </w:p>
    <w:p w:rsidR="005F7846" w:rsidRPr="005F7846" w:rsidRDefault="005F7846" w:rsidP="005F7846">
      <w:pPr>
        <w:widowControl w:val="0"/>
        <w:autoSpaceDE w:val="0"/>
        <w:autoSpaceDN w:val="0"/>
        <w:adjustRightInd w:val="0"/>
        <w:spacing w:after="0" w:line="240" w:lineRule="auto"/>
        <w:ind w:left="480" w:hanging="480"/>
        <w:jc w:val="both"/>
        <w:rPr>
          <w:rFonts w:asciiTheme="minorHAnsi" w:hAnsiTheme="minorHAnsi" w:cstheme="minorHAnsi"/>
          <w:noProof/>
          <w:sz w:val="24"/>
          <w:szCs w:val="24"/>
        </w:rPr>
      </w:pPr>
      <w:r w:rsidRPr="005F7846">
        <w:rPr>
          <w:rFonts w:asciiTheme="minorHAnsi" w:hAnsiTheme="minorHAnsi" w:cstheme="minorHAnsi"/>
          <w:noProof/>
          <w:sz w:val="24"/>
          <w:szCs w:val="24"/>
        </w:rPr>
        <w:t xml:space="preserve">Hakim, Ilmi, ‘Dampak Kebijakan Pertambangan Batubara Bagi Masyarakat Bengkuring Kelurahan Sempaja Selatan Kecamatan Samarinda Utara’, </w:t>
      </w:r>
      <w:r w:rsidRPr="005F7846">
        <w:rPr>
          <w:rFonts w:asciiTheme="minorHAnsi" w:hAnsiTheme="minorHAnsi" w:cstheme="minorHAnsi"/>
          <w:i/>
          <w:iCs/>
          <w:noProof/>
          <w:sz w:val="24"/>
          <w:szCs w:val="24"/>
        </w:rPr>
        <w:t>Jurnal Ilmu Pemerintahan</w:t>
      </w:r>
      <w:r w:rsidRPr="005F7846">
        <w:rPr>
          <w:rFonts w:asciiTheme="minorHAnsi" w:hAnsiTheme="minorHAnsi" w:cstheme="minorHAnsi"/>
          <w:noProof/>
          <w:sz w:val="24"/>
          <w:szCs w:val="24"/>
        </w:rPr>
        <w:t>, 2.2 (2015), 1731–41</w:t>
      </w:r>
    </w:p>
    <w:p w:rsidR="005F7846" w:rsidRPr="005F7846" w:rsidRDefault="005F7846" w:rsidP="005F7846">
      <w:pPr>
        <w:widowControl w:val="0"/>
        <w:autoSpaceDE w:val="0"/>
        <w:autoSpaceDN w:val="0"/>
        <w:adjustRightInd w:val="0"/>
        <w:spacing w:after="0" w:line="240" w:lineRule="auto"/>
        <w:ind w:left="480" w:hanging="480"/>
        <w:jc w:val="both"/>
        <w:rPr>
          <w:rFonts w:asciiTheme="minorHAnsi" w:hAnsiTheme="minorHAnsi" w:cstheme="minorHAnsi"/>
          <w:noProof/>
          <w:sz w:val="24"/>
          <w:szCs w:val="24"/>
        </w:rPr>
      </w:pPr>
      <w:r w:rsidRPr="005F7846">
        <w:rPr>
          <w:rFonts w:asciiTheme="minorHAnsi" w:hAnsiTheme="minorHAnsi" w:cstheme="minorHAnsi"/>
          <w:noProof/>
          <w:sz w:val="24"/>
          <w:szCs w:val="24"/>
        </w:rPr>
        <w:t xml:space="preserve">Handayani, I. Gusti Ayu Ketut Rachmi, Adi Sulistiyono, Tommy Leonard, Ardi Gunardi, and Fatma Ulfatun Najicha, ‘Environmental Management Strategy in Mining Activities in Forest Area Accordance with the Based Justice in Indonesia’, </w:t>
      </w:r>
      <w:r w:rsidRPr="005F7846">
        <w:rPr>
          <w:rFonts w:asciiTheme="minorHAnsi" w:hAnsiTheme="minorHAnsi" w:cstheme="minorHAnsi"/>
          <w:i/>
          <w:iCs/>
          <w:noProof/>
          <w:sz w:val="24"/>
          <w:szCs w:val="24"/>
        </w:rPr>
        <w:t>Journal of Legal, Ethical and Regulatory Issues</w:t>
      </w:r>
      <w:r w:rsidRPr="005F7846">
        <w:rPr>
          <w:rFonts w:asciiTheme="minorHAnsi" w:hAnsiTheme="minorHAnsi" w:cstheme="minorHAnsi"/>
          <w:noProof/>
          <w:sz w:val="24"/>
          <w:szCs w:val="24"/>
        </w:rPr>
        <w:t>, 21.2 (2018)</w:t>
      </w:r>
    </w:p>
    <w:p w:rsidR="005F7846" w:rsidRPr="005F7846" w:rsidRDefault="005F7846" w:rsidP="005F7846">
      <w:pPr>
        <w:widowControl w:val="0"/>
        <w:autoSpaceDE w:val="0"/>
        <w:autoSpaceDN w:val="0"/>
        <w:adjustRightInd w:val="0"/>
        <w:spacing w:after="0" w:line="240" w:lineRule="auto"/>
        <w:ind w:left="480" w:hanging="480"/>
        <w:jc w:val="both"/>
        <w:rPr>
          <w:rFonts w:asciiTheme="minorHAnsi" w:hAnsiTheme="minorHAnsi" w:cstheme="minorHAnsi"/>
          <w:noProof/>
          <w:sz w:val="24"/>
          <w:szCs w:val="24"/>
        </w:rPr>
      </w:pPr>
      <w:r w:rsidRPr="005F7846">
        <w:rPr>
          <w:rFonts w:asciiTheme="minorHAnsi" w:hAnsiTheme="minorHAnsi" w:cstheme="minorHAnsi"/>
          <w:noProof/>
          <w:sz w:val="24"/>
          <w:szCs w:val="24"/>
        </w:rPr>
        <w:t xml:space="preserve">Harahap, Fitri Ramdhani, ‘Restorasi Lahan Pasca Tambang Timah Di Pulau Bangka’, </w:t>
      </w:r>
      <w:r w:rsidRPr="005F7846">
        <w:rPr>
          <w:rFonts w:asciiTheme="minorHAnsi" w:hAnsiTheme="minorHAnsi" w:cstheme="minorHAnsi"/>
          <w:i/>
          <w:iCs/>
          <w:noProof/>
          <w:sz w:val="24"/>
          <w:szCs w:val="24"/>
        </w:rPr>
        <w:t>Society</w:t>
      </w:r>
      <w:r w:rsidRPr="005F7846">
        <w:rPr>
          <w:rFonts w:asciiTheme="minorHAnsi" w:hAnsiTheme="minorHAnsi" w:cstheme="minorHAnsi"/>
          <w:noProof/>
          <w:sz w:val="24"/>
          <w:szCs w:val="24"/>
        </w:rPr>
        <w:t>, 4.1 (2016), 61–69 &lt;https://doi.org/10.33019/society.v4i1.36&gt;</w:t>
      </w:r>
    </w:p>
    <w:p w:rsidR="005F7846" w:rsidRPr="005F7846" w:rsidRDefault="005F7846" w:rsidP="005F7846">
      <w:pPr>
        <w:widowControl w:val="0"/>
        <w:autoSpaceDE w:val="0"/>
        <w:autoSpaceDN w:val="0"/>
        <w:adjustRightInd w:val="0"/>
        <w:spacing w:after="0" w:line="240" w:lineRule="auto"/>
        <w:ind w:left="480" w:hanging="480"/>
        <w:jc w:val="both"/>
        <w:rPr>
          <w:rFonts w:asciiTheme="minorHAnsi" w:hAnsiTheme="minorHAnsi" w:cstheme="minorHAnsi"/>
          <w:noProof/>
          <w:sz w:val="24"/>
          <w:szCs w:val="24"/>
        </w:rPr>
      </w:pPr>
      <w:r w:rsidRPr="005F7846">
        <w:rPr>
          <w:rFonts w:asciiTheme="minorHAnsi" w:hAnsiTheme="minorHAnsi" w:cstheme="minorHAnsi"/>
          <w:noProof/>
          <w:sz w:val="24"/>
          <w:szCs w:val="24"/>
        </w:rPr>
        <w:t xml:space="preserve">Heriyansyah, ‘Implementasi Peraturan Pemerintah Nomor 78 Tahun 2010 Tentang Reklamasi Dan Pascatambang (Studi Kasus Pada PT. Raja Kutai Baru Makmur Di Desa Kutai Lama Kecamatan Anggana Kabupaten Kutai Kartanegara)’, </w:t>
      </w:r>
      <w:r w:rsidRPr="005F7846">
        <w:rPr>
          <w:rFonts w:asciiTheme="minorHAnsi" w:hAnsiTheme="minorHAnsi" w:cstheme="minorHAnsi"/>
          <w:i/>
          <w:iCs/>
          <w:noProof/>
          <w:sz w:val="24"/>
          <w:szCs w:val="24"/>
        </w:rPr>
        <w:t>EJournal Ilmu Pemerintahan</w:t>
      </w:r>
      <w:r w:rsidRPr="005F7846">
        <w:rPr>
          <w:rFonts w:asciiTheme="minorHAnsi" w:hAnsiTheme="minorHAnsi" w:cstheme="minorHAnsi"/>
          <w:noProof/>
          <w:sz w:val="24"/>
          <w:szCs w:val="24"/>
        </w:rPr>
        <w:t>, 3.1 (2015), 520–34</w:t>
      </w:r>
    </w:p>
    <w:p w:rsidR="005F7846" w:rsidRPr="005F7846" w:rsidRDefault="005F7846" w:rsidP="005F7846">
      <w:pPr>
        <w:widowControl w:val="0"/>
        <w:autoSpaceDE w:val="0"/>
        <w:autoSpaceDN w:val="0"/>
        <w:adjustRightInd w:val="0"/>
        <w:spacing w:after="0" w:line="240" w:lineRule="auto"/>
        <w:ind w:left="480" w:hanging="480"/>
        <w:jc w:val="both"/>
        <w:rPr>
          <w:rFonts w:asciiTheme="minorHAnsi" w:hAnsiTheme="minorHAnsi" w:cstheme="minorHAnsi"/>
          <w:noProof/>
          <w:sz w:val="24"/>
          <w:szCs w:val="24"/>
        </w:rPr>
      </w:pPr>
      <w:r w:rsidRPr="005F7846">
        <w:rPr>
          <w:rFonts w:asciiTheme="minorHAnsi" w:hAnsiTheme="minorHAnsi" w:cstheme="minorHAnsi"/>
          <w:noProof/>
          <w:sz w:val="24"/>
          <w:szCs w:val="24"/>
        </w:rPr>
        <w:t xml:space="preserve">Herlina, Nina, ‘PERMASALAHAN LINGKUNGAN HIDUP DAN PENEGAKAN HUKUM LINGKUNGAN DI INDONESIA Oleh : Nina Herlina, S.H., M.H. *) ABSTRAK’, </w:t>
      </w:r>
      <w:r w:rsidRPr="005F7846">
        <w:rPr>
          <w:rFonts w:asciiTheme="minorHAnsi" w:hAnsiTheme="minorHAnsi" w:cstheme="minorHAnsi"/>
          <w:i/>
          <w:iCs/>
          <w:noProof/>
          <w:sz w:val="24"/>
          <w:szCs w:val="24"/>
        </w:rPr>
        <w:t>Jurnal Ilmiah Galuh Justisi</w:t>
      </w:r>
      <w:r w:rsidRPr="005F7846">
        <w:rPr>
          <w:rFonts w:asciiTheme="minorHAnsi" w:hAnsiTheme="minorHAnsi" w:cstheme="minorHAnsi"/>
          <w:noProof/>
          <w:sz w:val="24"/>
          <w:szCs w:val="24"/>
        </w:rPr>
        <w:t>, 3.2 (2015), 1–16</w:t>
      </w:r>
    </w:p>
    <w:p w:rsidR="005F7846" w:rsidRPr="005F7846" w:rsidRDefault="005F7846" w:rsidP="005F7846">
      <w:pPr>
        <w:widowControl w:val="0"/>
        <w:autoSpaceDE w:val="0"/>
        <w:autoSpaceDN w:val="0"/>
        <w:adjustRightInd w:val="0"/>
        <w:spacing w:after="0" w:line="240" w:lineRule="auto"/>
        <w:ind w:left="480" w:hanging="480"/>
        <w:jc w:val="both"/>
        <w:rPr>
          <w:rFonts w:asciiTheme="minorHAnsi" w:hAnsiTheme="minorHAnsi" w:cstheme="minorHAnsi"/>
          <w:noProof/>
          <w:sz w:val="24"/>
          <w:szCs w:val="24"/>
        </w:rPr>
      </w:pPr>
      <w:r w:rsidRPr="005F7846">
        <w:rPr>
          <w:rFonts w:asciiTheme="minorHAnsi" w:hAnsiTheme="minorHAnsi" w:cstheme="minorHAnsi"/>
          <w:noProof/>
          <w:sz w:val="24"/>
          <w:szCs w:val="24"/>
        </w:rPr>
        <w:t xml:space="preserve">Hidjaz, Kamal, ‘Effectiveness of Environmental Policy Enforcement and the Impact by </w:t>
      </w:r>
      <w:r w:rsidRPr="005F7846">
        <w:rPr>
          <w:rFonts w:asciiTheme="minorHAnsi" w:hAnsiTheme="minorHAnsi" w:cstheme="minorHAnsi"/>
          <w:noProof/>
          <w:sz w:val="24"/>
          <w:szCs w:val="24"/>
        </w:rPr>
        <w:lastRenderedPageBreak/>
        <w:t xml:space="preserve">Industrial Mining, Energy, Mineral, and Gas Activities in Indonesia’, </w:t>
      </w:r>
      <w:r w:rsidRPr="005F7846">
        <w:rPr>
          <w:rFonts w:asciiTheme="minorHAnsi" w:hAnsiTheme="minorHAnsi" w:cstheme="minorHAnsi"/>
          <w:i/>
          <w:iCs/>
          <w:noProof/>
          <w:sz w:val="24"/>
          <w:szCs w:val="24"/>
        </w:rPr>
        <w:t>International Journal of Energy Economics and Policy</w:t>
      </w:r>
      <w:r w:rsidRPr="005F7846">
        <w:rPr>
          <w:rFonts w:asciiTheme="minorHAnsi" w:hAnsiTheme="minorHAnsi" w:cstheme="minorHAnsi"/>
          <w:noProof/>
          <w:sz w:val="24"/>
          <w:szCs w:val="24"/>
        </w:rPr>
        <w:t>, 9.6 (2019), 79–85 &lt;https://doi.org/10.32479/ijeep.8146&gt;</w:t>
      </w:r>
    </w:p>
    <w:p w:rsidR="005F7846" w:rsidRPr="005F7846" w:rsidRDefault="005F7846" w:rsidP="005F7846">
      <w:pPr>
        <w:widowControl w:val="0"/>
        <w:autoSpaceDE w:val="0"/>
        <w:autoSpaceDN w:val="0"/>
        <w:adjustRightInd w:val="0"/>
        <w:spacing w:after="0" w:line="240" w:lineRule="auto"/>
        <w:ind w:left="480" w:hanging="480"/>
        <w:jc w:val="both"/>
        <w:rPr>
          <w:rFonts w:asciiTheme="minorHAnsi" w:hAnsiTheme="minorHAnsi" w:cstheme="minorHAnsi"/>
          <w:noProof/>
          <w:sz w:val="24"/>
          <w:szCs w:val="24"/>
        </w:rPr>
      </w:pPr>
      <w:r w:rsidRPr="005F7846">
        <w:rPr>
          <w:rFonts w:asciiTheme="minorHAnsi" w:hAnsiTheme="minorHAnsi" w:cstheme="minorHAnsi"/>
          <w:noProof/>
          <w:sz w:val="24"/>
          <w:szCs w:val="24"/>
        </w:rPr>
        <w:t xml:space="preserve">Hou, Huping, Zhongyi Ding, Shaoliang Zhang, Shanchuan Guo, Yongjun Yang, Zanxu Chen, and others, ‘Spatial Estimate of Ecological and Environmental Damage in an Underground Coal Mining Area on the Loess Plateau: Implications for Planning Restoration Interventions’, </w:t>
      </w:r>
      <w:r w:rsidRPr="005F7846">
        <w:rPr>
          <w:rFonts w:asciiTheme="minorHAnsi" w:hAnsiTheme="minorHAnsi" w:cstheme="minorHAnsi"/>
          <w:i/>
          <w:iCs/>
          <w:noProof/>
          <w:sz w:val="24"/>
          <w:szCs w:val="24"/>
        </w:rPr>
        <w:t>Journal of Cleaner Production</w:t>
      </w:r>
      <w:r w:rsidRPr="005F7846">
        <w:rPr>
          <w:rFonts w:asciiTheme="minorHAnsi" w:hAnsiTheme="minorHAnsi" w:cstheme="minorHAnsi"/>
          <w:noProof/>
          <w:sz w:val="24"/>
          <w:szCs w:val="24"/>
        </w:rPr>
        <w:t>, 287 (2021), 125061 &lt;https://doi.org/10.1016/j.jclepro.2020.125061&gt;</w:t>
      </w:r>
    </w:p>
    <w:p w:rsidR="005F7846" w:rsidRPr="005F7846" w:rsidRDefault="005F7846" w:rsidP="005F7846">
      <w:pPr>
        <w:widowControl w:val="0"/>
        <w:autoSpaceDE w:val="0"/>
        <w:autoSpaceDN w:val="0"/>
        <w:adjustRightInd w:val="0"/>
        <w:spacing w:after="0" w:line="240" w:lineRule="auto"/>
        <w:ind w:left="480" w:hanging="480"/>
        <w:jc w:val="both"/>
        <w:rPr>
          <w:rFonts w:asciiTheme="minorHAnsi" w:hAnsiTheme="minorHAnsi" w:cstheme="minorHAnsi"/>
          <w:noProof/>
          <w:sz w:val="24"/>
          <w:szCs w:val="24"/>
        </w:rPr>
      </w:pPr>
      <w:r w:rsidRPr="005F7846">
        <w:rPr>
          <w:rFonts w:asciiTheme="minorHAnsi" w:hAnsiTheme="minorHAnsi" w:cstheme="minorHAnsi"/>
          <w:noProof/>
          <w:sz w:val="24"/>
          <w:szCs w:val="24"/>
        </w:rPr>
        <w:t xml:space="preserve">Iqra, Moh, Syabani Korompot, and Al-fatih David, ‘The Principle of Equality Before the Law in Indonesian Corruption Case : Is It Relevant ?’, </w:t>
      </w:r>
      <w:r w:rsidRPr="005F7846">
        <w:rPr>
          <w:rFonts w:asciiTheme="minorHAnsi" w:hAnsiTheme="minorHAnsi" w:cstheme="minorHAnsi"/>
          <w:i/>
          <w:iCs/>
          <w:noProof/>
          <w:sz w:val="24"/>
          <w:szCs w:val="24"/>
        </w:rPr>
        <w:t>Journal of Human Rights, Culture and Legal System</w:t>
      </w:r>
      <w:r w:rsidRPr="005F7846">
        <w:rPr>
          <w:rFonts w:asciiTheme="minorHAnsi" w:hAnsiTheme="minorHAnsi" w:cstheme="minorHAnsi"/>
          <w:noProof/>
          <w:sz w:val="24"/>
          <w:szCs w:val="24"/>
        </w:rPr>
        <w:t>, 1.3 (2021), 135–46</w:t>
      </w:r>
    </w:p>
    <w:p w:rsidR="005F7846" w:rsidRPr="005F7846" w:rsidRDefault="005F7846" w:rsidP="005F7846">
      <w:pPr>
        <w:widowControl w:val="0"/>
        <w:autoSpaceDE w:val="0"/>
        <w:autoSpaceDN w:val="0"/>
        <w:adjustRightInd w:val="0"/>
        <w:spacing w:after="0" w:line="240" w:lineRule="auto"/>
        <w:ind w:left="480" w:hanging="480"/>
        <w:jc w:val="both"/>
        <w:rPr>
          <w:rFonts w:asciiTheme="minorHAnsi" w:hAnsiTheme="minorHAnsi" w:cstheme="minorHAnsi"/>
          <w:noProof/>
          <w:sz w:val="24"/>
          <w:szCs w:val="24"/>
        </w:rPr>
      </w:pPr>
      <w:r w:rsidRPr="005F7846">
        <w:rPr>
          <w:rFonts w:asciiTheme="minorHAnsi" w:hAnsiTheme="minorHAnsi" w:cstheme="minorHAnsi"/>
          <w:noProof/>
          <w:sz w:val="24"/>
          <w:szCs w:val="24"/>
        </w:rPr>
        <w:t xml:space="preserve">Izzati, Nabiyla Risfa, Mas Muhammad, and Gibran Sesunan, ‘“Misclassified Partnership” and the Impact of Legal Loophole on Workers’, </w:t>
      </w:r>
      <w:r w:rsidRPr="005F7846">
        <w:rPr>
          <w:rFonts w:asciiTheme="minorHAnsi" w:hAnsiTheme="minorHAnsi" w:cstheme="minorHAnsi"/>
          <w:i/>
          <w:iCs/>
          <w:noProof/>
          <w:sz w:val="24"/>
          <w:szCs w:val="24"/>
        </w:rPr>
        <w:t>Bestuur</w:t>
      </w:r>
      <w:r w:rsidRPr="005F7846">
        <w:rPr>
          <w:rFonts w:asciiTheme="minorHAnsi" w:hAnsiTheme="minorHAnsi" w:cstheme="minorHAnsi"/>
          <w:noProof/>
          <w:sz w:val="24"/>
          <w:szCs w:val="24"/>
        </w:rPr>
        <w:t>, 10.1 (2022), 57–67</w:t>
      </w:r>
    </w:p>
    <w:p w:rsidR="005F7846" w:rsidRPr="005F7846" w:rsidRDefault="005F7846" w:rsidP="005F7846">
      <w:pPr>
        <w:widowControl w:val="0"/>
        <w:autoSpaceDE w:val="0"/>
        <w:autoSpaceDN w:val="0"/>
        <w:adjustRightInd w:val="0"/>
        <w:spacing w:after="0" w:line="240" w:lineRule="auto"/>
        <w:ind w:left="480" w:hanging="480"/>
        <w:jc w:val="both"/>
        <w:rPr>
          <w:rFonts w:asciiTheme="minorHAnsi" w:hAnsiTheme="minorHAnsi" w:cstheme="minorHAnsi"/>
          <w:noProof/>
          <w:sz w:val="24"/>
          <w:szCs w:val="24"/>
        </w:rPr>
      </w:pPr>
      <w:r w:rsidRPr="005F7846">
        <w:rPr>
          <w:rFonts w:asciiTheme="minorHAnsi" w:hAnsiTheme="minorHAnsi" w:cstheme="minorHAnsi"/>
          <w:noProof/>
          <w:sz w:val="24"/>
          <w:szCs w:val="24"/>
        </w:rPr>
        <w:t>Jaelani, Abdul Kadir, I Gusti Ayu, Ketut Rachmi, Lego Karjoko, and Jaco Barkhuizen, ‘Restoring What ’ s Environmental About Environmental Law in the Indonesian Supreme Court’, 583.Iceep (2021), 1–4</w:t>
      </w:r>
    </w:p>
    <w:p w:rsidR="005F7846" w:rsidRPr="005F7846" w:rsidRDefault="005F7846" w:rsidP="005F7846">
      <w:pPr>
        <w:widowControl w:val="0"/>
        <w:autoSpaceDE w:val="0"/>
        <w:autoSpaceDN w:val="0"/>
        <w:adjustRightInd w:val="0"/>
        <w:spacing w:after="0" w:line="240" w:lineRule="auto"/>
        <w:ind w:left="480" w:hanging="480"/>
        <w:jc w:val="both"/>
        <w:rPr>
          <w:rFonts w:asciiTheme="minorHAnsi" w:hAnsiTheme="minorHAnsi" w:cstheme="minorHAnsi"/>
          <w:noProof/>
          <w:sz w:val="24"/>
          <w:szCs w:val="24"/>
        </w:rPr>
      </w:pPr>
      <w:r w:rsidRPr="005F7846">
        <w:rPr>
          <w:rFonts w:asciiTheme="minorHAnsi" w:hAnsiTheme="minorHAnsi" w:cstheme="minorHAnsi"/>
          <w:noProof/>
          <w:sz w:val="24"/>
          <w:szCs w:val="24"/>
        </w:rPr>
        <w:t xml:space="preserve">Joni, Ahmad, ‘IMPLEMENTASI KEWAJIBAN REKLAMASI PEMEGANG IZIN USAHA PERTAMBANGAN ( IUP ) BERDASARKAN UNDANG- UNDANG NOMOR 4 TAHUN 2009 TENTANG PERTAMBANGAN MINERAL DAN BATUBARA DI PROVINSI RIAU IMPLEMENTATION OF RECLAMATION OBLIGATIONS OF MINING BUSINESS LICENSE HOLDERS’, </w:t>
      </w:r>
      <w:r w:rsidRPr="005F7846">
        <w:rPr>
          <w:rFonts w:asciiTheme="minorHAnsi" w:hAnsiTheme="minorHAnsi" w:cstheme="minorHAnsi"/>
          <w:i/>
          <w:iCs/>
          <w:noProof/>
          <w:sz w:val="24"/>
          <w:szCs w:val="24"/>
        </w:rPr>
        <w:t>Jurnal Gagasan Hukum</w:t>
      </w:r>
      <w:r w:rsidRPr="005F7846">
        <w:rPr>
          <w:rFonts w:asciiTheme="minorHAnsi" w:hAnsiTheme="minorHAnsi" w:cstheme="minorHAnsi"/>
          <w:noProof/>
          <w:sz w:val="24"/>
          <w:szCs w:val="24"/>
        </w:rPr>
        <w:t>, 02.02 (2020)</w:t>
      </w:r>
    </w:p>
    <w:p w:rsidR="005F7846" w:rsidRPr="005F7846" w:rsidRDefault="005F7846" w:rsidP="005F7846">
      <w:pPr>
        <w:widowControl w:val="0"/>
        <w:autoSpaceDE w:val="0"/>
        <w:autoSpaceDN w:val="0"/>
        <w:adjustRightInd w:val="0"/>
        <w:spacing w:after="0" w:line="240" w:lineRule="auto"/>
        <w:ind w:left="480" w:hanging="480"/>
        <w:jc w:val="both"/>
        <w:rPr>
          <w:rFonts w:asciiTheme="minorHAnsi" w:hAnsiTheme="minorHAnsi" w:cstheme="minorHAnsi"/>
          <w:noProof/>
          <w:sz w:val="24"/>
          <w:szCs w:val="24"/>
        </w:rPr>
      </w:pPr>
      <w:r w:rsidRPr="005F7846">
        <w:rPr>
          <w:rFonts w:asciiTheme="minorHAnsi" w:hAnsiTheme="minorHAnsi" w:cstheme="minorHAnsi"/>
          <w:noProof/>
          <w:sz w:val="24"/>
          <w:szCs w:val="24"/>
        </w:rPr>
        <w:t xml:space="preserve">Karjoko, Lego, I. Gusti Ayu Ketut Rachmi Handayani, Abdul Kadir Jaelani, and Muhammad Jihadul Hayat, ‘Indonesia’s Sustainable Development Goals Resolving Waste Problem: Informal to Formal Policy’, </w:t>
      </w:r>
      <w:r w:rsidRPr="005F7846">
        <w:rPr>
          <w:rFonts w:asciiTheme="minorHAnsi" w:hAnsiTheme="minorHAnsi" w:cstheme="minorHAnsi"/>
          <w:i/>
          <w:iCs/>
          <w:noProof/>
          <w:sz w:val="24"/>
          <w:szCs w:val="24"/>
        </w:rPr>
        <w:t>International Journal of Sustainable Development and Planning</w:t>
      </w:r>
      <w:r w:rsidRPr="005F7846">
        <w:rPr>
          <w:rFonts w:asciiTheme="minorHAnsi" w:hAnsiTheme="minorHAnsi" w:cstheme="minorHAnsi"/>
          <w:noProof/>
          <w:sz w:val="24"/>
          <w:szCs w:val="24"/>
        </w:rPr>
        <w:t>, 17.2 (2022), 649–58 &lt;https://doi.org/10.18280/ijsdp.170230&gt;</w:t>
      </w:r>
    </w:p>
    <w:p w:rsidR="005F7846" w:rsidRPr="005F7846" w:rsidRDefault="005F7846" w:rsidP="005F7846">
      <w:pPr>
        <w:widowControl w:val="0"/>
        <w:autoSpaceDE w:val="0"/>
        <w:autoSpaceDN w:val="0"/>
        <w:adjustRightInd w:val="0"/>
        <w:spacing w:after="0" w:line="240" w:lineRule="auto"/>
        <w:ind w:left="480" w:hanging="480"/>
        <w:jc w:val="both"/>
        <w:rPr>
          <w:rFonts w:asciiTheme="minorHAnsi" w:hAnsiTheme="minorHAnsi" w:cstheme="minorHAnsi"/>
          <w:noProof/>
          <w:sz w:val="24"/>
          <w:szCs w:val="24"/>
        </w:rPr>
      </w:pPr>
      <w:r w:rsidRPr="005F7846">
        <w:rPr>
          <w:rFonts w:asciiTheme="minorHAnsi" w:hAnsiTheme="minorHAnsi" w:cstheme="minorHAnsi"/>
          <w:noProof/>
          <w:sz w:val="24"/>
          <w:szCs w:val="24"/>
        </w:rPr>
        <w:t xml:space="preserve">Karjoko, Lego, Josephine Santosa, and I Gusti Ayu Ketut Rachmi Handayani, ‘Disfungsi Peraturan Perundang-Undangan Tanggung Jawab Sosial Dan Lingkungan Di Indonesia’, </w:t>
      </w:r>
      <w:r w:rsidRPr="005F7846">
        <w:rPr>
          <w:rFonts w:asciiTheme="minorHAnsi" w:hAnsiTheme="minorHAnsi" w:cstheme="minorHAnsi"/>
          <w:i/>
          <w:iCs/>
          <w:noProof/>
          <w:sz w:val="24"/>
          <w:szCs w:val="24"/>
        </w:rPr>
        <w:t>Jurnal Hukum Ius Quia Iustum</w:t>
      </w:r>
      <w:r w:rsidRPr="005F7846">
        <w:rPr>
          <w:rFonts w:asciiTheme="minorHAnsi" w:hAnsiTheme="minorHAnsi" w:cstheme="minorHAnsi"/>
          <w:noProof/>
          <w:sz w:val="24"/>
          <w:szCs w:val="24"/>
        </w:rPr>
        <w:t>, 26.2 (2019), 305–25 &lt;https://doi.org/10.20885/iustum.vol26.iss2.art5&gt;</w:t>
      </w:r>
    </w:p>
    <w:p w:rsidR="005F7846" w:rsidRPr="005F7846" w:rsidRDefault="005F7846" w:rsidP="005F7846">
      <w:pPr>
        <w:widowControl w:val="0"/>
        <w:autoSpaceDE w:val="0"/>
        <w:autoSpaceDN w:val="0"/>
        <w:adjustRightInd w:val="0"/>
        <w:spacing w:after="0" w:line="240" w:lineRule="auto"/>
        <w:ind w:left="480" w:hanging="480"/>
        <w:jc w:val="both"/>
        <w:rPr>
          <w:rFonts w:asciiTheme="minorHAnsi" w:hAnsiTheme="minorHAnsi" w:cstheme="minorHAnsi"/>
          <w:noProof/>
          <w:sz w:val="24"/>
          <w:szCs w:val="24"/>
        </w:rPr>
      </w:pPr>
      <w:r w:rsidRPr="005F7846">
        <w:rPr>
          <w:rFonts w:asciiTheme="minorHAnsi" w:hAnsiTheme="minorHAnsi" w:cstheme="minorHAnsi"/>
          <w:noProof/>
          <w:sz w:val="24"/>
          <w:szCs w:val="24"/>
        </w:rPr>
        <w:t xml:space="preserve">Kholifah, Ayu, ‘Menakar Perlindungan HAM Dalam Revisi UU Minerba Melalui UN Guiding Principles on Business and Human Rights’, </w:t>
      </w:r>
      <w:r w:rsidRPr="005F7846">
        <w:rPr>
          <w:rFonts w:asciiTheme="minorHAnsi" w:hAnsiTheme="minorHAnsi" w:cstheme="minorHAnsi"/>
          <w:i/>
          <w:iCs/>
          <w:noProof/>
          <w:sz w:val="24"/>
          <w:szCs w:val="24"/>
        </w:rPr>
        <w:t>Jurnal Justisia : Jurnal Ilmu Hukum, Perundang-Undangan Dan Pranata Sosial</w:t>
      </w:r>
      <w:r w:rsidRPr="005F7846">
        <w:rPr>
          <w:rFonts w:asciiTheme="minorHAnsi" w:hAnsiTheme="minorHAnsi" w:cstheme="minorHAnsi"/>
          <w:noProof/>
          <w:sz w:val="24"/>
          <w:szCs w:val="24"/>
        </w:rPr>
        <w:t>, 6.1 (2021), 26 &lt;https://doi.org/10.22373/justisia.v6i1.10610&gt;</w:t>
      </w:r>
    </w:p>
    <w:p w:rsidR="005F7846" w:rsidRPr="005F7846" w:rsidRDefault="005F7846" w:rsidP="005F7846">
      <w:pPr>
        <w:widowControl w:val="0"/>
        <w:autoSpaceDE w:val="0"/>
        <w:autoSpaceDN w:val="0"/>
        <w:adjustRightInd w:val="0"/>
        <w:spacing w:after="0" w:line="240" w:lineRule="auto"/>
        <w:ind w:left="480" w:hanging="480"/>
        <w:jc w:val="both"/>
        <w:rPr>
          <w:rFonts w:asciiTheme="minorHAnsi" w:hAnsiTheme="minorHAnsi" w:cstheme="minorHAnsi"/>
          <w:noProof/>
          <w:sz w:val="24"/>
          <w:szCs w:val="24"/>
        </w:rPr>
      </w:pPr>
      <w:r w:rsidRPr="005F7846">
        <w:rPr>
          <w:rFonts w:asciiTheme="minorHAnsi" w:hAnsiTheme="minorHAnsi" w:cstheme="minorHAnsi"/>
          <w:noProof/>
          <w:sz w:val="24"/>
          <w:szCs w:val="24"/>
        </w:rPr>
        <w:t xml:space="preserve">Kusuma, Bambang Ali, Lego Karjoko, Abdul Kadir Jaelani, and I Gusti Ayu Ketut Rahmi Handayani, ‘Establishment of Indonesian Maritime Power : Regulation of Transnational Organized Crime on Illegal , Unreported , and Unregulated ( IIU ) Fishing’, </w:t>
      </w:r>
      <w:r w:rsidRPr="005F7846">
        <w:rPr>
          <w:rFonts w:asciiTheme="minorHAnsi" w:hAnsiTheme="minorHAnsi" w:cstheme="minorHAnsi"/>
          <w:i/>
          <w:iCs/>
          <w:noProof/>
          <w:sz w:val="24"/>
          <w:szCs w:val="24"/>
        </w:rPr>
        <w:t>International Journal of Criminal Justice Science</w:t>
      </w:r>
      <w:r w:rsidRPr="005F7846">
        <w:rPr>
          <w:rFonts w:asciiTheme="minorHAnsi" w:hAnsiTheme="minorHAnsi" w:cstheme="minorHAnsi"/>
          <w:noProof/>
          <w:sz w:val="24"/>
          <w:szCs w:val="24"/>
        </w:rPr>
        <w:t>, 16.2 (2021), 251–66 &lt;https://doi.org/10.5281/zenodo.4756074&gt;</w:t>
      </w:r>
    </w:p>
    <w:p w:rsidR="005F7846" w:rsidRPr="005F7846" w:rsidRDefault="005F7846" w:rsidP="005F7846">
      <w:pPr>
        <w:widowControl w:val="0"/>
        <w:autoSpaceDE w:val="0"/>
        <w:autoSpaceDN w:val="0"/>
        <w:adjustRightInd w:val="0"/>
        <w:spacing w:after="0" w:line="240" w:lineRule="auto"/>
        <w:ind w:left="480" w:hanging="480"/>
        <w:jc w:val="both"/>
        <w:rPr>
          <w:rFonts w:asciiTheme="minorHAnsi" w:hAnsiTheme="minorHAnsi" w:cstheme="minorHAnsi"/>
          <w:noProof/>
          <w:sz w:val="24"/>
          <w:szCs w:val="24"/>
        </w:rPr>
      </w:pPr>
      <w:r w:rsidRPr="005F7846">
        <w:rPr>
          <w:rFonts w:asciiTheme="minorHAnsi" w:hAnsiTheme="minorHAnsi" w:cstheme="minorHAnsi"/>
          <w:noProof/>
          <w:sz w:val="24"/>
          <w:szCs w:val="24"/>
        </w:rPr>
        <w:t xml:space="preserve">Larondelle, Neele, and Dagmar Haase, ‘Valuing Post-Mining Landscapes Using an Ecosystem Services Approach - An Example from Germany’, </w:t>
      </w:r>
      <w:r w:rsidRPr="005F7846">
        <w:rPr>
          <w:rFonts w:asciiTheme="minorHAnsi" w:hAnsiTheme="minorHAnsi" w:cstheme="minorHAnsi"/>
          <w:i/>
          <w:iCs/>
          <w:noProof/>
          <w:sz w:val="24"/>
          <w:szCs w:val="24"/>
        </w:rPr>
        <w:t>Ecological Indicators</w:t>
      </w:r>
      <w:r w:rsidRPr="005F7846">
        <w:rPr>
          <w:rFonts w:asciiTheme="minorHAnsi" w:hAnsiTheme="minorHAnsi" w:cstheme="minorHAnsi"/>
          <w:noProof/>
          <w:sz w:val="24"/>
          <w:szCs w:val="24"/>
        </w:rPr>
        <w:t>, 18 (2012), 567–74 &lt;https://doi.org/10.1016/j.ecolind.2012.01.008&gt;</w:t>
      </w:r>
    </w:p>
    <w:p w:rsidR="005F7846" w:rsidRPr="005F7846" w:rsidRDefault="005F7846" w:rsidP="005F7846">
      <w:pPr>
        <w:widowControl w:val="0"/>
        <w:autoSpaceDE w:val="0"/>
        <w:autoSpaceDN w:val="0"/>
        <w:adjustRightInd w:val="0"/>
        <w:spacing w:after="0" w:line="240" w:lineRule="auto"/>
        <w:ind w:left="480" w:hanging="480"/>
        <w:jc w:val="both"/>
        <w:rPr>
          <w:rFonts w:asciiTheme="minorHAnsi" w:hAnsiTheme="minorHAnsi" w:cstheme="minorHAnsi"/>
          <w:noProof/>
          <w:sz w:val="24"/>
          <w:szCs w:val="24"/>
        </w:rPr>
      </w:pPr>
      <w:r w:rsidRPr="005F7846">
        <w:rPr>
          <w:rFonts w:asciiTheme="minorHAnsi" w:hAnsiTheme="minorHAnsi" w:cstheme="minorHAnsi"/>
          <w:noProof/>
          <w:sz w:val="24"/>
          <w:szCs w:val="24"/>
        </w:rPr>
        <w:t xml:space="preserve">Laurensius Arliman S, ‘Eksistensi Hukum Lingkungan Dalam Membangun Lingkungan Sehat Di Indonesia’, </w:t>
      </w:r>
      <w:r w:rsidRPr="005F7846">
        <w:rPr>
          <w:rFonts w:asciiTheme="minorHAnsi" w:hAnsiTheme="minorHAnsi" w:cstheme="minorHAnsi"/>
          <w:i/>
          <w:iCs/>
          <w:noProof/>
          <w:sz w:val="24"/>
          <w:szCs w:val="24"/>
        </w:rPr>
        <w:t>Jurnal Ilmu Hukum</w:t>
      </w:r>
      <w:r w:rsidRPr="005F7846">
        <w:rPr>
          <w:rFonts w:asciiTheme="minorHAnsi" w:hAnsiTheme="minorHAnsi" w:cstheme="minorHAnsi"/>
          <w:noProof/>
          <w:sz w:val="24"/>
          <w:szCs w:val="24"/>
        </w:rPr>
        <w:t xml:space="preserve">, 5.1 (2018), 761–70 </w:t>
      </w:r>
      <w:r w:rsidRPr="005F7846">
        <w:rPr>
          <w:rFonts w:asciiTheme="minorHAnsi" w:hAnsiTheme="minorHAnsi" w:cstheme="minorHAnsi"/>
          <w:noProof/>
          <w:sz w:val="24"/>
          <w:szCs w:val="24"/>
        </w:rPr>
        <w:lastRenderedPageBreak/>
        <w:t>&lt;https://doi.org/10.5281/zenodo.1683714&gt;</w:t>
      </w:r>
    </w:p>
    <w:p w:rsidR="005F7846" w:rsidRPr="005F7846" w:rsidRDefault="005F7846" w:rsidP="005F7846">
      <w:pPr>
        <w:widowControl w:val="0"/>
        <w:autoSpaceDE w:val="0"/>
        <w:autoSpaceDN w:val="0"/>
        <w:adjustRightInd w:val="0"/>
        <w:spacing w:after="0" w:line="240" w:lineRule="auto"/>
        <w:ind w:left="480" w:hanging="480"/>
        <w:jc w:val="both"/>
        <w:rPr>
          <w:rFonts w:asciiTheme="minorHAnsi" w:hAnsiTheme="minorHAnsi" w:cstheme="minorHAnsi"/>
          <w:noProof/>
          <w:sz w:val="24"/>
          <w:szCs w:val="24"/>
        </w:rPr>
      </w:pPr>
      <w:r w:rsidRPr="005F7846">
        <w:rPr>
          <w:rFonts w:asciiTheme="minorHAnsi" w:hAnsiTheme="minorHAnsi" w:cstheme="minorHAnsi"/>
          <w:noProof/>
          <w:sz w:val="24"/>
          <w:szCs w:val="24"/>
        </w:rPr>
        <w:t xml:space="preserve">Liyus, Herry, Sri Rahayu, and Dheny Wahyudhi, ‘Analisis Yuridis Terhadap Tindak Pidana Pertambangan Dalam Perspektif Perundang-Undangan Indonesia’, </w:t>
      </w:r>
      <w:r w:rsidRPr="005F7846">
        <w:rPr>
          <w:rFonts w:asciiTheme="minorHAnsi" w:hAnsiTheme="minorHAnsi" w:cstheme="minorHAnsi"/>
          <w:i/>
          <w:iCs/>
          <w:noProof/>
          <w:sz w:val="24"/>
          <w:szCs w:val="24"/>
        </w:rPr>
        <w:t>Jurnal Inovatif</w:t>
      </w:r>
      <w:r w:rsidRPr="005F7846">
        <w:rPr>
          <w:rFonts w:asciiTheme="minorHAnsi" w:hAnsiTheme="minorHAnsi" w:cstheme="minorHAnsi"/>
          <w:noProof/>
          <w:sz w:val="24"/>
          <w:szCs w:val="24"/>
        </w:rPr>
        <w:t>, XII.1 (2019), 42–60</w:t>
      </w:r>
    </w:p>
    <w:p w:rsidR="005F7846" w:rsidRPr="005F7846" w:rsidRDefault="005F7846" w:rsidP="005F7846">
      <w:pPr>
        <w:widowControl w:val="0"/>
        <w:autoSpaceDE w:val="0"/>
        <w:autoSpaceDN w:val="0"/>
        <w:adjustRightInd w:val="0"/>
        <w:spacing w:after="0" w:line="240" w:lineRule="auto"/>
        <w:ind w:left="480" w:hanging="480"/>
        <w:jc w:val="both"/>
        <w:rPr>
          <w:rFonts w:asciiTheme="minorHAnsi" w:hAnsiTheme="minorHAnsi" w:cstheme="minorHAnsi"/>
          <w:noProof/>
          <w:sz w:val="24"/>
          <w:szCs w:val="24"/>
        </w:rPr>
      </w:pPr>
      <w:r w:rsidRPr="005F7846">
        <w:rPr>
          <w:rFonts w:asciiTheme="minorHAnsi" w:hAnsiTheme="minorHAnsi" w:cstheme="minorHAnsi"/>
          <w:noProof/>
          <w:sz w:val="24"/>
          <w:szCs w:val="24"/>
        </w:rPr>
        <w:t xml:space="preserve">Luhukay, Roni Sulistyanto, and Abdul Kadir Jaelani, ‘Penataan Sistem Peraturan Perundang-Undangan Dalam Mendukung Penguatan Konstitusi Ekonomi Indonesia’, </w:t>
      </w:r>
      <w:r w:rsidRPr="005F7846">
        <w:rPr>
          <w:rFonts w:asciiTheme="minorHAnsi" w:hAnsiTheme="minorHAnsi" w:cstheme="minorHAnsi"/>
          <w:i/>
          <w:iCs/>
          <w:noProof/>
          <w:sz w:val="24"/>
          <w:szCs w:val="24"/>
        </w:rPr>
        <w:t>Jatiswara</w:t>
      </w:r>
      <w:r w:rsidRPr="005F7846">
        <w:rPr>
          <w:rFonts w:asciiTheme="minorHAnsi" w:hAnsiTheme="minorHAnsi" w:cstheme="minorHAnsi"/>
          <w:noProof/>
          <w:sz w:val="24"/>
          <w:szCs w:val="24"/>
        </w:rPr>
        <w:t>, 34.2 (2019), 155 &lt;https://doi.org/10.29303/jatiswara.v34i2.200&gt;</w:t>
      </w:r>
    </w:p>
    <w:p w:rsidR="005F7846" w:rsidRPr="005F7846" w:rsidRDefault="005F7846" w:rsidP="005F7846">
      <w:pPr>
        <w:widowControl w:val="0"/>
        <w:autoSpaceDE w:val="0"/>
        <w:autoSpaceDN w:val="0"/>
        <w:adjustRightInd w:val="0"/>
        <w:spacing w:after="0" w:line="240" w:lineRule="auto"/>
        <w:ind w:left="480" w:hanging="480"/>
        <w:jc w:val="both"/>
        <w:rPr>
          <w:rFonts w:asciiTheme="minorHAnsi" w:hAnsiTheme="minorHAnsi" w:cstheme="minorHAnsi"/>
          <w:noProof/>
          <w:sz w:val="24"/>
          <w:szCs w:val="24"/>
        </w:rPr>
      </w:pPr>
      <w:r w:rsidRPr="005F7846">
        <w:rPr>
          <w:rFonts w:asciiTheme="minorHAnsi" w:hAnsiTheme="minorHAnsi" w:cstheme="minorHAnsi"/>
          <w:noProof/>
          <w:sz w:val="24"/>
          <w:szCs w:val="24"/>
        </w:rPr>
        <w:t xml:space="preserve">Ma’ruf, Arifin, ‘Application of Timber Legality Verification System (SVLK) Policy as Ecolabel Implementation in the Indonesian Timber Industry’, </w:t>
      </w:r>
      <w:r w:rsidRPr="005F7846">
        <w:rPr>
          <w:rFonts w:asciiTheme="minorHAnsi" w:hAnsiTheme="minorHAnsi" w:cstheme="minorHAnsi"/>
          <w:i/>
          <w:iCs/>
          <w:noProof/>
          <w:sz w:val="24"/>
          <w:szCs w:val="24"/>
        </w:rPr>
        <w:t>Journal of Human Rights, Culture and Legal System</w:t>
      </w:r>
      <w:r w:rsidRPr="005F7846">
        <w:rPr>
          <w:rFonts w:asciiTheme="minorHAnsi" w:hAnsiTheme="minorHAnsi" w:cstheme="minorHAnsi"/>
          <w:noProof/>
          <w:sz w:val="24"/>
          <w:szCs w:val="24"/>
        </w:rPr>
        <w:t>, 1.2 (2021), 92–99 &lt;https://doi.org/10.53955/jhcls.v1i2.10&gt;</w:t>
      </w:r>
    </w:p>
    <w:p w:rsidR="005F7846" w:rsidRPr="005F7846" w:rsidRDefault="005F7846" w:rsidP="005F7846">
      <w:pPr>
        <w:widowControl w:val="0"/>
        <w:autoSpaceDE w:val="0"/>
        <w:autoSpaceDN w:val="0"/>
        <w:adjustRightInd w:val="0"/>
        <w:spacing w:after="0" w:line="240" w:lineRule="auto"/>
        <w:ind w:left="480" w:hanging="480"/>
        <w:jc w:val="both"/>
        <w:rPr>
          <w:rFonts w:asciiTheme="minorHAnsi" w:hAnsiTheme="minorHAnsi" w:cstheme="minorHAnsi"/>
          <w:noProof/>
          <w:sz w:val="24"/>
          <w:szCs w:val="24"/>
        </w:rPr>
      </w:pPr>
      <w:r w:rsidRPr="005F7846">
        <w:rPr>
          <w:rFonts w:asciiTheme="minorHAnsi" w:hAnsiTheme="minorHAnsi" w:cstheme="minorHAnsi"/>
          <w:noProof/>
          <w:sz w:val="24"/>
          <w:szCs w:val="24"/>
        </w:rPr>
        <w:t xml:space="preserve">Maruf, Arifin, ‘Legal Aspects of Environment in Indonesia: An Efforts to Prevent Environmental Damage and Pollution’, </w:t>
      </w:r>
      <w:r w:rsidRPr="005F7846">
        <w:rPr>
          <w:rFonts w:asciiTheme="minorHAnsi" w:hAnsiTheme="minorHAnsi" w:cstheme="minorHAnsi"/>
          <w:i/>
          <w:iCs/>
          <w:noProof/>
          <w:sz w:val="24"/>
          <w:szCs w:val="24"/>
        </w:rPr>
        <w:t>Journal of Human Rights, Culture and Legal System</w:t>
      </w:r>
      <w:r w:rsidRPr="005F7846">
        <w:rPr>
          <w:rFonts w:asciiTheme="minorHAnsi" w:hAnsiTheme="minorHAnsi" w:cstheme="minorHAnsi"/>
          <w:noProof/>
          <w:sz w:val="24"/>
          <w:szCs w:val="24"/>
        </w:rPr>
        <w:t>, 1.1 (2021), 2807–12 &lt;https://doi.org/10.53955/jhcls.v1i1.4&gt;</w:t>
      </w:r>
    </w:p>
    <w:p w:rsidR="005F7846" w:rsidRPr="005F7846" w:rsidRDefault="005F7846" w:rsidP="005F7846">
      <w:pPr>
        <w:widowControl w:val="0"/>
        <w:autoSpaceDE w:val="0"/>
        <w:autoSpaceDN w:val="0"/>
        <w:adjustRightInd w:val="0"/>
        <w:spacing w:after="0" w:line="240" w:lineRule="auto"/>
        <w:ind w:left="480" w:hanging="480"/>
        <w:jc w:val="both"/>
        <w:rPr>
          <w:rFonts w:asciiTheme="minorHAnsi" w:hAnsiTheme="minorHAnsi" w:cstheme="minorHAnsi"/>
          <w:noProof/>
          <w:sz w:val="24"/>
          <w:szCs w:val="24"/>
        </w:rPr>
      </w:pPr>
      <w:r w:rsidRPr="005F7846">
        <w:rPr>
          <w:rFonts w:asciiTheme="minorHAnsi" w:hAnsiTheme="minorHAnsi" w:cstheme="minorHAnsi"/>
          <w:noProof/>
          <w:sz w:val="24"/>
          <w:szCs w:val="24"/>
        </w:rPr>
        <w:t xml:space="preserve">Marwan, Awaludin, and Fiammetta Bonfigli, ‘Detection of Digital Law Issues and Implication for Good Governance Policy in Indonesia’, </w:t>
      </w:r>
      <w:r w:rsidRPr="005F7846">
        <w:rPr>
          <w:rFonts w:asciiTheme="minorHAnsi" w:hAnsiTheme="minorHAnsi" w:cstheme="minorHAnsi"/>
          <w:i/>
          <w:iCs/>
          <w:noProof/>
          <w:sz w:val="24"/>
          <w:szCs w:val="24"/>
        </w:rPr>
        <w:t>Bestuur</w:t>
      </w:r>
      <w:r w:rsidRPr="005F7846">
        <w:rPr>
          <w:rFonts w:asciiTheme="minorHAnsi" w:hAnsiTheme="minorHAnsi" w:cstheme="minorHAnsi"/>
          <w:noProof/>
          <w:sz w:val="24"/>
          <w:szCs w:val="24"/>
        </w:rPr>
        <w:t>, 10.1 (2022), 22–32 &lt;https://doi.org/https://doi.org/10.20961/bestuur.v10i1.59143&gt;</w:t>
      </w:r>
    </w:p>
    <w:p w:rsidR="005F7846" w:rsidRPr="005F7846" w:rsidRDefault="005F7846" w:rsidP="005F7846">
      <w:pPr>
        <w:widowControl w:val="0"/>
        <w:autoSpaceDE w:val="0"/>
        <w:autoSpaceDN w:val="0"/>
        <w:adjustRightInd w:val="0"/>
        <w:spacing w:after="0" w:line="240" w:lineRule="auto"/>
        <w:ind w:left="480" w:hanging="480"/>
        <w:jc w:val="both"/>
        <w:rPr>
          <w:rFonts w:asciiTheme="minorHAnsi" w:hAnsiTheme="minorHAnsi" w:cstheme="minorHAnsi"/>
          <w:noProof/>
          <w:sz w:val="24"/>
          <w:szCs w:val="24"/>
        </w:rPr>
      </w:pPr>
      <w:r w:rsidRPr="005F7846">
        <w:rPr>
          <w:rFonts w:asciiTheme="minorHAnsi" w:hAnsiTheme="minorHAnsi" w:cstheme="minorHAnsi"/>
          <w:noProof/>
          <w:sz w:val="24"/>
          <w:szCs w:val="24"/>
        </w:rPr>
        <w:t xml:space="preserve">Mufidah, N. Zakiyyatul, and Miftachur R. Habibi, ‘Simposium Hukum Indonesia’, </w:t>
      </w:r>
      <w:r w:rsidRPr="005F7846">
        <w:rPr>
          <w:rFonts w:asciiTheme="minorHAnsi" w:hAnsiTheme="minorHAnsi" w:cstheme="minorHAnsi"/>
          <w:i/>
          <w:iCs/>
          <w:noProof/>
          <w:sz w:val="24"/>
          <w:szCs w:val="24"/>
        </w:rPr>
        <w:t>Simposium Hukum Indonesia</w:t>
      </w:r>
      <w:r w:rsidRPr="005F7846">
        <w:rPr>
          <w:rFonts w:asciiTheme="minorHAnsi" w:hAnsiTheme="minorHAnsi" w:cstheme="minorHAnsi"/>
          <w:noProof/>
          <w:sz w:val="24"/>
          <w:szCs w:val="24"/>
        </w:rPr>
        <w:t>, 1.1 (2019), 574–86</w:t>
      </w:r>
    </w:p>
    <w:p w:rsidR="005F7846" w:rsidRPr="005F7846" w:rsidRDefault="005F7846" w:rsidP="005F7846">
      <w:pPr>
        <w:widowControl w:val="0"/>
        <w:autoSpaceDE w:val="0"/>
        <w:autoSpaceDN w:val="0"/>
        <w:adjustRightInd w:val="0"/>
        <w:spacing w:after="0" w:line="240" w:lineRule="auto"/>
        <w:ind w:left="480" w:hanging="480"/>
        <w:jc w:val="both"/>
        <w:rPr>
          <w:rFonts w:asciiTheme="minorHAnsi" w:hAnsiTheme="minorHAnsi" w:cstheme="minorHAnsi"/>
          <w:noProof/>
          <w:sz w:val="24"/>
          <w:szCs w:val="24"/>
        </w:rPr>
      </w:pPr>
      <w:r w:rsidRPr="005F7846">
        <w:rPr>
          <w:rFonts w:asciiTheme="minorHAnsi" w:hAnsiTheme="minorHAnsi" w:cstheme="minorHAnsi"/>
          <w:noProof/>
          <w:sz w:val="24"/>
          <w:szCs w:val="24"/>
        </w:rPr>
        <w:t xml:space="preserve">Munir, Misbakhul, and RR Diah Nugraheni Setyowati Setyowati, ‘Kajian Reklamasi Lahan Pasca Tambang Di Jambi, Bangka, Dan Kalimantan Selatan’, </w:t>
      </w:r>
      <w:r w:rsidRPr="005F7846">
        <w:rPr>
          <w:rFonts w:asciiTheme="minorHAnsi" w:hAnsiTheme="minorHAnsi" w:cstheme="minorHAnsi"/>
          <w:i/>
          <w:iCs/>
          <w:noProof/>
          <w:sz w:val="24"/>
          <w:szCs w:val="24"/>
        </w:rPr>
        <w:t>Klorofil</w:t>
      </w:r>
      <w:r w:rsidRPr="005F7846">
        <w:rPr>
          <w:rFonts w:asciiTheme="minorHAnsi" w:hAnsiTheme="minorHAnsi" w:cstheme="minorHAnsi"/>
          <w:noProof/>
          <w:sz w:val="24"/>
          <w:szCs w:val="24"/>
        </w:rPr>
        <w:t>, 1.1 (2017), 11–16</w:t>
      </w:r>
    </w:p>
    <w:p w:rsidR="005F7846" w:rsidRPr="005F7846" w:rsidRDefault="005F7846" w:rsidP="005F7846">
      <w:pPr>
        <w:widowControl w:val="0"/>
        <w:autoSpaceDE w:val="0"/>
        <w:autoSpaceDN w:val="0"/>
        <w:adjustRightInd w:val="0"/>
        <w:spacing w:after="0" w:line="240" w:lineRule="auto"/>
        <w:ind w:left="480" w:hanging="480"/>
        <w:jc w:val="both"/>
        <w:rPr>
          <w:rFonts w:asciiTheme="minorHAnsi" w:hAnsiTheme="minorHAnsi" w:cstheme="minorHAnsi"/>
          <w:noProof/>
          <w:sz w:val="24"/>
          <w:szCs w:val="24"/>
        </w:rPr>
      </w:pPr>
      <w:r w:rsidRPr="005F7846">
        <w:rPr>
          <w:rFonts w:asciiTheme="minorHAnsi" w:hAnsiTheme="minorHAnsi" w:cstheme="minorHAnsi"/>
          <w:noProof/>
          <w:sz w:val="24"/>
          <w:szCs w:val="24"/>
        </w:rPr>
        <w:t xml:space="preserve">Najicha, Fatma Ulfatun, ‘Oil and Natural Gas Management Policy in Realizing Equal Energy in Indonesia’, </w:t>
      </w:r>
      <w:r w:rsidRPr="005F7846">
        <w:rPr>
          <w:rFonts w:asciiTheme="minorHAnsi" w:hAnsiTheme="minorHAnsi" w:cstheme="minorHAnsi"/>
          <w:i/>
          <w:iCs/>
          <w:noProof/>
          <w:sz w:val="24"/>
          <w:szCs w:val="24"/>
        </w:rPr>
        <w:t>Journal of Human Rights, Culture and Legal System</w:t>
      </w:r>
      <w:r w:rsidRPr="005F7846">
        <w:rPr>
          <w:rFonts w:asciiTheme="minorHAnsi" w:hAnsiTheme="minorHAnsi" w:cstheme="minorHAnsi"/>
          <w:noProof/>
          <w:sz w:val="24"/>
          <w:szCs w:val="24"/>
        </w:rPr>
        <w:t>, 1.2 (2021), 2807–12 &lt;https://doi.org/10.53955/jhcls.v1i2.8&gt;</w:t>
      </w:r>
    </w:p>
    <w:p w:rsidR="005F7846" w:rsidRPr="005F7846" w:rsidRDefault="005F7846" w:rsidP="005F7846">
      <w:pPr>
        <w:widowControl w:val="0"/>
        <w:autoSpaceDE w:val="0"/>
        <w:autoSpaceDN w:val="0"/>
        <w:adjustRightInd w:val="0"/>
        <w:spacing w:after="0" w:line="240" w:lineRule="auto"/>
        <w:ind w:left="480" w:hanging="480"/>
        <w:jc w:val="both"/>
        <w:rPr>
          <w:rFonts w:asciiTheme="minorHAnsi" w:hAnsiTheme="minorHAnsi" w:cstheme="minorHAnsi"/>
          <w:noProof/>
          <w:sz w:val="24"/>
          <w:szCs w:val="24"/>
        </w:rPr>
      </w:pPr>
      <w:r w:rsidRPr="005F7846">
        <w:rPr>
          <w:rFonts w:asciiTheme="minorHAnsi" w:hAnsiTheme="minorHAnsi" w:cstheme="minorHAnsi"/>
          <w:noProof/>
          <w:sz w:val="24"/>
          <w:szCs w:val="24"/>
        </w:rPr>
        <w:t xml:space="preserve">Nugroho, Wahyu, ‘Persoalan Hukum Penyelesaian Hak Atas Tanah Dan Lingkungan Berdasarkan Perubahan Undang-Undang Minerba’, </w:t>
      </w:r>
      <w:r w:rsidRPr="005F7846">
        <w:rPr>
          <w:rFonts w:asciiTheme="minorHAnsi" w:hAnsiTheme="minorHAnsi" w:cstheme="minorHAnsi"/>
          <w:i/>
          <w:iCs/>
          <w:noProof/>
          <w:sz w:val="24"/>
          <w:szCs w:val="24"/>
        </w:rPr>
        <w:t>Jurnal Hukum Ius Quia Iustum</w:t>
      </w:r>
      <w:r w:rsidRPr="005F7846">
        <w:rPr>
          <w:rFonts w:asciiTheme="minorHAnsi" w:hAnsiTheme="minorHAnsi" w:cstheme="minorHAnsi"/>
          <w:noProof/>
          <w:sz w:val="24"/>
          <w:szCs w:val="24"/>
        </w:rPr>
        <w:t>, 27.3 (2020) &lt;https://doi.org/10.20885/iustum.vol27.iss3.art7&gt;</w:t>
      </w:r>
    </w:p>
    <w:p w:rsidR="005F7846" w:rsidRPr="005F7846" w:rsidRDefault="005F7846" w:rsidP="005F7846">
      <w:pPr>
        <w:widowControl w:val="0"/>
        <w:autoSpaceDE w:val="0"/>
        <w:autoSpaceDN w:val="0"/>
        <w:adjustRightInd w:val="0"/>
        <w:spacing w:after="0" w:line="240" w:lineRule="auto"/>
        <w:ind w:left="480" w:hanging="480"/>
        <w:jc w:val="both"/>
        <w:rPr>
          <w:rFonts w:asciiTheme="minorHAnsi" w:hAnsiTheme="minorHAnsi" w:cstheme="minorHAnsi"/>
          <w:noProof/>
          <w:sz w:val="24"/>
          <w:szCs w:val="24"/>
        </w:rPr>
      </w:pPr>
      <w:r w:rsidRPr="005F7846">
        <w:rPr>
          <w:rFonts w:asciiTheme="minorHAnsi" w:hAnsiTheme="minorHAnsi" w:cstheme="minorHAnsi"/>
          <w:noProof/>
          <w:sz w:val="24"/>
          <w:szCs w:val="24"/>
        </w:rPr>
        <w:t xml:space="preserve">Oktorina, Sarita, ‘Kebijakan Reklamasi Dan Revegetasi Lahan Bekas Tambang (Studi Kasus Tambang Batubara Indonesia)’, </w:t>
      </w:r>
      <w:r w:rsidRPr="005F7846">
        <w:rPr>
          <w:rFonts w:asciiTheme="minorHAnsi" w:hAnsiTheme="minorHAnsi" w:cstheme="minorHAnsi"/>
          <w:i/>
          <w:iCs/>
          <w:noProof/>
          <w:sz w:val="24"/>
          <w:szCs w:val="24"/>
        </w:rPr>
        <w:t>Al-Ard: Jurnal Teknik Lingkungan</w:t>
      </w:r>
      <w:r w:rsidRPr="005F7846">
        <w:rPr>
          <w:rFonts w:asciiTheme="minorHAnsi" w:hAnsiTheme="minorHAnsi" w:cstheme="minorHAnsi"/>
          <w:noProof/>
          <w:sz w:val="24"/>
          <w:szCs w:val="24"/>
        </w:rPr>
        <w:t>, 4.1 (2018), 16–20 &lt;https://doi.org/10.29080/alard.v4i1.411&gt;</w:t>
      </w:r>
    </w:p>
    <w:p w:rsidR="005F7846" w:rsidRPr="005F7846" w:rsidRDefault="005F7846" w:rsidP="005F7846">
      <w:pPr>
        <w:widowControl w:val="0"/>
        <w:autoSpaceDE w:val="0"/>
        <w:autoSpaceDN w:val="0"/>
        <w:adjustRightInd w:val="0"/>
        <w:spacing w:after="0" w:line="240" w:lineRule="auto"/>
        <w:ind w:left="480" w:hanging="480"/>
        <w:jc w:val="both"/>
        <w:rPr>
          <w:rFonts w:asciiTheme="minorHAnsi" w:hAnsiTheme="minorHAnsi" w:cstheme="minorHAnsi"/>
          <w:noProof/>
          <w:sz w:val="24"/>
          <w:szCs w:val="24"/>
        </w:rPr>
      </w:pPr>
      <w:r w:rsidRPr="005F7846">
        <w:rPr>
          <w:rFonts w:asciiTheme="minorHAnsi" w:hAnsiTheme="minorHAnsi" w:cstheme="minorHAnsi"/>
          <w:i/>
          <w:iCs/>
          <w:noProof/>
          <w:sz w:val="24"/>
          <w:szCs w:val="24"/>
        </w:rPr>
        <w:t>Peraturan Pemerintah Nomor 22 Tahun 2021 Tentang Penyelenggaraan Perlindungan Dan Pengelolaan Lingkungan Hidup</w:t>
      </w:r>
    </w:p>
    <w:p w:rsidR="005F7846" w:rsidRPr="005F7846" w:rsidRDefault="005F7846" w:rsidP="005F7846">
      <w:pPr>
        <w:widowControl w:val="0"/>
        <w:autoSpaceDE w:val="0"/>
        <w:autoSpaceDN w:val="0"/>
        <w:adjustRightInd w:val="0"/>
        <w:spacing w:after="0" w:line="240" w:lineRule="auto"/>
        <w:ind w:left="480" w:hanging="480"/>
        <w:jc w:val="both"/>
        <w:rPr>
          <w:rFonts w:asciiTheme="minorHAnsi" w:hAnsiTheme="minorHAnsi" w:cstheme="minorHAnsi"/>
          <w:noProof/>
          <w:sz w:val="24"/>
          <w:szCs w:val="24"/>
        </w:rPr>
      </w:pPr>
      <w:r w:rsidRPr="005F7846">
        <w:rPr>
          <w:rFonts w:asciiTheme="minorHAnsi" w:hAnsiTheme="minorHAnsi" w:cstheme="minorHAnsi"/>
          <w:noProof/>
          <w:sz w:val="24"/>
          <w:szCs w:val="24"/>
        </w:rPr>
        <w:t xml:space="preserve">Petriella, Yanita, ‘Adu Cepat Antara RUU Cipta Kerja Dan RUU Minerba, Ini Kata Ahli Tambang’, </w:t>
      </w:r>
      <w:r w:rsidRPr="005F7846">
        <w:rPr>
          <w:rFonts w:asciiTheme="minorHAnsi" w:hAnsiTheme="minorHAnsi" w:cstheme="minorHAnsi"/>
          <w:i/>
          <w:iCs/>
          <w:noProof/>
          <w:sz w:val="24"/>
          <w:szCs w:val="24"/>
        </w:rPr>
        <w:t>Ekonomi.Bisnis.Com</w:t>
      </w:r>
    </w:p>
    <w:p w:rsidR="005F7846" w:rsidRPr="005F7846" w:rsidRDefault="005F7846" w:rsidP="005F7846">
      <w:pPr>
        <w:widowControl w:val="0"/>
        <w:autoSpaceDE w:val="0"/>
        <w:autoSpaceDN w:val="0"/>
        <w:adjustRightInd w:val="0"/>
        <w:spacing w:after="0" w:line="240" w:lineRule="auto"/>
        <w:ind w:left="480" w:hanging="480"/>
        <w:jc w:val="both"/>
        <w:rPr>
          <w:rFonts w:asciiTheme="minorHAnsi" w:hAnsiTheme="minorHAnsi" w:cstheme="minorHAnsi"/>
          <w:noProof/>
          <w:sz w:val="24"/>
          <w:szCs w:val="24"/>
        </w:rPr>
      </w:pPr>
      <w:r w:rsidRPr="005F7846">
        <w:rPr>
          <w:rFonts w:asciiTheme="minorHAnsi" w:hAnsiTheme="minorHAnsi" w:cstheme="minorHAnsi"/>
          <w:noProof/>
          <w:sz w:val="24"/>
          <w:szCs w:val="24"/>
        </w:rPr>
        <w:t xml:space="preserve">Prayogo, Ade Lutfi, ‘Tanggung Jawab Pelaku Usaha Pertambangan Rakyat Dalam Reklamasi Gumuk Setelah Kegiatan Tambang’, </w:t>
      </w:r>
      <w:r w:rsidRPr="005F7846">
        <w:rPr>
          <w:rFonts w:asciiTheme="minorHAnsi" w:hAnsiTheme="minorHAnsi" w:cstheme="minorHAnsi"/>
          <w:i/>
          <w:iCs/>
          <w:noProof/>
          <w:sz w:val="24"/>
          <w:szCs w:val="24"/>
        </w:rPr>
        <w:t>Lentera Hukum</w:t>
      </w:r>
      <w:r w:rsidRPr="005F7846">
        <w:rPr>
          <w:rFonts w:asciiTheme="minorHAnsi" w:hAnsiTheme="minorHAnsi" w:cstheme="minorHAnsi"/>
          <w:noProof/>
          <w:sz w:val="24"/>
          <w:szCs w:val="24"/>
        </w:rPr>
        <w:t>, 5.3 (2018), 424 &lt;https://doi.org/10.19184/ejlh.v5i3.8201&gt;</w:t>
      </w:r>
    </w:p>
    <w:p w:rsidR="005F7846" w:rsidRPr="005F7846" w:rsidRDefault="005F7846" w:rsidP="005F7846">
      <w:pPr>
        <w:widowControl w:val="0"/>
        <w:autoSpaceDE w:val="0"/>
        <w:autoSpaceDN w:val="0"/>
        <w:adjustRightInd w:val="0"/>
        <w:spacing w:after="0" w:line="240" w:lineRule="auto"/>
        <w:ind w:left="480" w:hanging="480"/>
        <w:jc w:val="both"/>
        <w:rPr>
          <w:rFonts w:asciiTheme="minorHAnsi" w:hAnsiTheme="minorHAnsi" w:cstheme="minorHAnsi"/>
          <w:noProof/>
          <w:sz w:val="24"/>
          <w:szCs w:val="24"/>
        </w:rPr>
      </w:pPr>
      <w:r w:rsidRPr="005F7846">
        <w:rPr>
          <w:rFonts w:asciiTheme="minorHAnsi" w:hAnsiTheme="minorHAnsi" w:cstheme="minorHAnsi"/>
          <w:noProof/>
          <w:sz w:val="24"/>
          <w:szCs w:val="24"/>
        </w:rPr>
        <w:t xml:space="preserve">Puluhulawa, Fenty U., ‘Pengawasan Sebagai Instrumen Penegakan Hukum Pada Pengelolaan Usaha Pertambangan Mineral Dan Batubara’, </w:t>
      </w:r>
      <w:r w:rsidRPr="005F7846">
        <w:rPr>
          <w:rFonts w:asciiTheme="minorHAnsi" w:hAnsiTheme="minorHAnsi" w:cstheme="minorHAnsi"/>
          <w:i/>
          <w:iCs/>
          <w:noProof/>
          <w:sz w:val="24"/>
          <w:szCs w:val="24"/>
        </w:rPr>
        <w:t>Jurnal Dinamika Hukum</w:t>
      </w:r>
      <w:r w:rsidRPr="005F7846">
        <w:rPr>
          <w:rFonts w:asciiTheme="minorHAnsi" w:hAnsiTheme="minorHAnsi" w:cstheme="minorHAnsi"/>
          <w:noProof/>
          <w:sz w:val="24"/>
          <w:szCs w:val="24"/>
        </w:rPr>
        <w:t>, 11.2 (2011) &lt;https://doi.org/10.20884/1.jdh.2011.11.2.189&gt;</w:t>
      </w:r>
    </w:p>
    <w:p w:rsidR="005F7846" w:rsidRPr="005F7846" w:rsidRDefault="005F7846" w:rsidP="005F7846">
      <w:pPr>
        <w:widowControl w:val="0"/>
        <w:autoSpaceDE w:val="0"/>
        <w:autoSpaceDN w:val="0"/>
        <w:adjustRightInd w:val="0"/>
        <w:spacing w:after="0" w:line="240" w:lineRule="auto"/>
        <w:ind w:left="480" w:hanging="480"/>
        <w:jc w:val="both"/>
        <w:rPr>
          <w:rFonts w:asciiTheme="minorHAnsi" w:hAnsiTheme="minorHAnsi" w:cstheme="minorHAnsi"/>
          <w:noProof/>
          <w:sz w:val="24"/>
          <w:szCs w:val="24"/>
        </w:rPr>
      </w:pPr>
      <w:r w:rsidRPr="005F7846">
        <w:rPr>
          <w:rFonts w:asciiTheme="minorHAnsi" w:hAnsiTheme="minorHAnsi" w:cstheme="minorHAnsi"/>
          <w:noProof/>
          <w:sz w:val="24"/>
          <w:szCs w:val="24"/>
        </w:rPr>
        <w:t xml:space="preserve">Putra, David Aprizon, ‘Eksistensi Sistem Hukum Perizinan Kegiatan Pertambangan Dalam Otonomi Daerah Sebagai Salah Satu Instrumen Hukum Hak-Hak Masyarakat’, </w:t>
      </w:r>
      <w:r w:rsidRPr="005F7846">
        <w:rPr>
          <w:rFonts w:asciiTheme="minorHAnsi" w:hAnsiTheme="minorHAnsi" w:cstheme="minorHAnsi"/>
          <w:i/>
          <w:iCs/>
          <w:noProof/>
          <w:sz w:val="24"/>
          <w:szCs w:val="24"/>
        </w:rPr>
        <w:t>Jurnal Legality</w:t>
      </w:r>
      <w:r w:rsidRPr="005F7846">
        <w:rPr>
          <w:rFonts w:asciiTheme="minorHAnsi" w:hAnsiTheme="minorHAnsi" w:cstheme="minorHAnsi"/>
          <w:noProof/>
          <w:sz w:val="24"/>
          <w:szCs w:val="24"/>
        </w:rPr>
        <w:t>, 24.1 (2016), 16</w:t>
      </w:r>
    </w:p>
    <w:p w:rsidR="005F7846" w:rsidRPr="005F7846" w:rsidRDefault="005F7846" w:rsidP="005F7846">
      <w:pPr>
        <w:widowControl w:val="0"/>
        <w:autoSpaceDE w:val="0"/>
        <w:autoSpaceDN w:val="0"/>
        <w:adjustRightInd w:val="0"/>
        <w:spacing w:after="0" w:line="240" w:lineRule="auto"/>
        <w:ind w:left="480" w:hanging="480"/>
        <w:jc w:val="both"/>
        <w:rPr>
          <w:rFonts w:asciiTheme="minorHAnsi" w:hAnsiTheme="minorHAnsi" w:cstheme="minorHAnsi"/>
          <w:noProof/>
          <w:sz w:val="24"/>
          <w:szCs w:val="24"/>
        </w:rPr>
      </w:pPr>
      <w:r w:rsidRPr="005F7846">
        <w:rPr>
          <w:rFonts w:asciiTheme="minorHAnsi" w:hAnsiTheme="minorHAnsi" w:cstheme="minorHAnsi"/>
          <w:noProof/>
          <w:sz w:val="24"/>
          <w:szCs w:val="24"/>
        </w:rPr>
        <w:lastRenderedPageBreak/>
        <w:t xml:space="preserve">Raya, Muhammad Yaasiin, and Irwansyah, ‘Analisis Kewajiban Deposito Sebagai Jaminan Reklamasi Dan Pasca Tambang’, </w:t>
      </w:r>
      <w:r w:rsidRPr="005F7846">
        <w:rPr>
          <w:rFonts w:asciiTheme="minorHAnsi" w:hAnsiTheme="minorHAnsi" w:cstheme="minorHAnsi"/>
          <w:i/>
          <w:iCs/>
          <w:noProof/>
          <w:sz w:val="24"/>
          <w:szCs w:val="24"/>
        </w:rPr>
        <w:t>Papua Law Journal</w:t>
      </w:r>
      <w:r w:rsidRPr="005F7846">
        <w:rPr>
          <w:rFonts w:asciiTheme="minorHAnsi" w:hAnsiTheme="minorHAnsi" w:cstheme="minorHAnsi"/>
          <w:noProof/>
          <w:sz w:val="24"/>
          <w:szCs w:val="24"/>
        </w:rPr>
        <w:t>, 1.2 (2017), 223</w:t>
      </w:r>
    </w:p>
    <w:p w:rsidR="005F7846" w:rsidRPr="005F7846" w:rsidRDefault="005F7846" w:rsidP="005F7846">
      <w:pPr>
        <w:widowControl w:val="0"/>
        <w:autoSpaceDE w:val="0"/>
        <w:autoSpaceDN w:val="0"/>
        <w:adjustRightInd w:val="0"/>
        <w:spacing w:after="0" w:line="240" w:lineRule="auto"/>
        <w:ind w:left="480" w:hanging="480"/>
        <w:jc w:val="both"/>
        <w:rPr>
          <w:rFonts w:asciiTheme="minorHAnsi" w:hAnsiTheme="minorHAnsi" w:cstheme="minorHAnsi"/>
          <w:noProof/>
          <w:sz w:val="24"/>
          <w:szCs w:val="24"/>
        </w:rPr>
      </w:pPr>
      <w:r w:rsidRPr="005F7846">
        <w:rPr>
          <w:rFonts w:asciiTheme="minorHAnsi" w:hAnsiTheme="minorHAnsi" w:cstheme="minorHAnsi"/>
          <w:noProof/>
          <w:sz w:val="24"/>
          <w:szCs w:val="24"/>
        </w:rPr>
        <w:t xml:space="preserve">Redi, Ahmad, ‘DILEMA PENEGAKAN HUKUM PENAMBANGAN MINERAL DAN BATUBARA TANPA IZIN PADA PERTAMBANGAN SKALA KECIL (Dilemma of Law Enforcement in Small Scale Illegal Mining)’, </w:t>
      </w:r>
      <w:r w:rsidRPr="005F7846">
        <w:rPr>
          <w:rFonts w:asciiTheme="minorHAnsi" w:hAnsiTheme="minorHAnsi" w:cstheme="minorHAnsi"/>
          <w:i/>
          <w:iCs/>
          <w:noProof/>
          <w:sz w:val="24"/>
          <w:szCs w:val="24"/>
        </w:rPr>
        <w:t>Rechts Vinding</w:t>
      </w:r>
      <w:r w:rsidRPr="005F7846">
        <w:rPr>
          <w:rFonts w:asciiTheme="minorHAnsi" w:hAnsiTheme="minorHAnsi" w:cstheme="minorHAnsi"/>
          <w:noProof/>
          <w:sz w:val="24"/>
          <w:szCs w:val="24"/>
        </w:rPr>
        <w:t>, 5.3 (2016), 399–417 &lt;https://doi.org/http://dx.doi.org/10.33331/rechtsvinding.v5i3.152&gt;</w:t>
      </w:r>
    </w:p>
    <w:p w:rsidR="005F7846" w:rsidRPr="005F7846" w:rsidRDefault="005F7846" w:rsidP="005F7846">
      <w:pPr>
        <w:widowControl w:val="0"/>
        <w:autoSpaceDE w:val="0"/>
        <w:autoSpaceDN w:val="0"/>
        <w:adjustRightInd w:val="0"/>
        <w:spacing w:after="0" w:line="240" w:lineRule="auto"/>
        <w:ind w:left="480" w:hanging="480"/>
        <w:jc w:val="both"/>
        <w:rPr>
          <w:rFonts w:asciiTheme="minorHAnsi" w:hAnsiTheme="minorHAnsi" w:cstheme="minorHAnsi"/>
          <w:noProof/>
          <w:sz w:val="24"/>
          <w:szCs w:val="24"/>
        </w:rPr>
      </w:pPr>
      <w:r w:rsidRPr="005F7846">
        <w:rPr>
          <w:rFonts w:asciiTheme="minorHAnsi" w:hAnsiTheme="minorHAnsi" w:cstheme="minorHAnsi"/>
          <w:noProof/>
          <w:sz w:val="24"/>
          <w:szCs w:val="24"/>
        </w:rPr>
        <w:t xml:space="preserve">Rizki, Afidah Nur, and Amrie Firmansyah, ‘Kewajiban Lingkungan Atas Reklamasi Dan Pasca Tambang Pada Perusahaan Sektor Pertambangan Di Indonesia’, </w:t>
      </w:r>
      <w:r w:rsidRPr="005F7846">
        <w:rPr>
          <w:rFonts w:asciiTheme="minorHAnsi" w:hAnsiTheme="minorHAnsi" w:cstheme="minorHAnsi"/>
          <w:i/>
          <w:iCs/>
          <w:noProof/>
          <w:sz w:val="24"/>
          <w:szCs w:val="24"/>
        </w:rPr>
        <w:t>Ekombis Sains: Jurnal Ekonomi, Keuangan Dan Bisnis</w:t>
      </w:r>
      <w:r w:rsidRPr="005F7846">
        <w:rPr>
          <w:rFonts w:asciiTheme="minorHAnsi" w:hAnsiTheme="minorHAnsi" w:cstheme="minorHAnsi"/>
          <w:noProof/>
          <w:sz w:val="24"/>
          <w:szCs w:val="24"/>
        </w:rPr>
        <w:t>, 6.1 (2021), 37–54 &lt;https://doi.org/10.24967/ekombis.v6i1.1117&gt;</w:t>
      </w:r>
    </w:p>
    <w:p w:rsidR="005F7846" w:rsidRPr="005F7846" w:rsidRDefault="005F7846" w:rsidP="005F7846">
      <w:pPr>
        <w:widowControl w:val="0"/>
        <w:autoSpaceDE w:val="0"/>
        <w:autoSpaceDN w:val="0"/>
        <w:adjustRightInd w:val="0"/>
        <w:spacing w:after="0" w:line="240" w:lineRule="auto"/>
        <w:ind w:left="480" w:hanging="480"/>
        <w:jc w:val="both"/>
        <w:rPr>
          <w:rFonts w:asciiTheme="minorHAnsi" w:hAnsiTheme="minorHAnsi" w:cstheme="minorHAnsi"/>
          <w:noProof/>
          <w:sz w:val="24"/>
          <w:szCs w:val="24"/>
        </w:rPr>
      </w:pPr>
      <w:r w:rsidRPr="005F7846">
        <w:rPr>
          <w:rFonts w:asciiTheme="minorHAnsi" w:hAnsiTheme="minorHAnsi" w:cstheme="minorHAnsi"/>
          <w:noProof/>
          <w:sz w:val="24"/>
          <w:szCs w:val="24"/>
        </w:rPr>
        <w:t xml:space="preserve">Saedpanah, Safoura, and Jamil Amanollahi, ‘Environmental Pollution and Geo-Ecological Risk Assessment of the Qhorveh Mining Area in Western Iran’, </w:t>
      </w:r>
      <w:r w:rsidRPr="005F7846">
        <w:rPr>
          <w:rFonts w:asciiTheme="minorHAnsi" w:hAnsiTheme="minorHAnsi" w:cstheme="minorHAnsi"/>
          <w:i/>
          <w:iCs/>
          <w:noProof/>
          <w:sz w:val="24"/>
          <w:szCs w:val="24"/>
        </w:rPr>
        <w:t>Environmental Pollution</w:t>
      </w:r>
      <w:r w:rsidRPr="005F7846">
        <w:rPr>
          <w:rFonts w:asciiTheme="minorHAnsi" w:hAnsiTheme="minorHAnsi" w:cstheme="minorHAnsi"/>
          <w:noProof/>
          <w:sz w:val="24"/>
          <w:szCs w:val="24"/>
        </w:rPr>
        <w:t>, 253 (2019), 811–20 &lt;https://doi.org/10.1016/j.envpol.2019.07.049&gt;</w:t>
      </w:r>
    </w:p>
    <w:p w:rsidR="005F7846" w:rsidRPr="005F7846" w:rsidRDefault="005F7846" w:rsidP="005F7846">
      <w:pPr>
        <w:widowControl w:val="0"/>
        <w:autoSpaceDE w:val="0"/>
        <w:autoSpaceDN w:val="0"/>
        <w:adjustRightInd w:val="0"/>
        <w:spacing w:after="0" w:line="240" w:lineRule="auto"/>
        <w:ind w:left="480" w:hanging="480"/>
        <w:jc w:val="both"/>
        <w:rPr>
          <w:rFonts w:asciiTheme="minorHAnsi" w:hAnsiTheme="minorHAnsi" w:cstheme="minorHAnsi"/>
          <w:noProof/>
          <w:sz w:val="24"/>
          <w:szCs w:val="24"/>
        </w:rPr>
      </w:pPr>
      <w:r w:rsidRPr="005F7846">
        <w:rPr>
          <w:rFonts w:asciiTheme="minorHAnsi" w:hAnsiTheme="minorHAnsi" w:cstheme="minorHAnsi"/>
          <w:noProof/>
          <w:sz w:val="24"/>
          <w:szCs w:val="24"/>
        </w:rPr>
        <w:t xml:space="preserve">Saiful Hi. Soleman, Rusdin Alauddin, and Irham Rosyidi, ‘Efektivitas Pelaksanaan Amdal Pada Kegiatan Pertambangan Di Provinsi Maluku Utara’, </w:t>
      </w:r>
      <w:r w:rsidRPr="005F7846">
        <w:rPr>
          <w:rFonts w:asciiTheme="minorHAnsi" w:hAnsiTheme="minorHAnsi" w:cstheme="minorHAnsi"/>
          <w:i/>
          <w:iCs/>
          <w:noProof/>
          <w:sz w:val="24"/>
          <w:szCs w:val="24"/>
        </w:rPr>
        <w:t>Law Journal</w:t>
      </w:r>
      <w:r w:rsidRPr="005F7846">
        <w:rPr>
          <w:rFonts w:asciiTheme="minorHAnsi" w:hAnsiTheme="minorHAnsi" w:cstheme="minorHAnsi"/>
          <w:noProof/>
          <w:sz w:val="24"/>
          <w:szCs w:val="24"/>
        </w:rPr>
        <w:t>, 3.2 (2020), 79–92</w:t>
      </w:r>
    </w:p>
    <w:p w:rsidR="005F7846" w:rsidRPr="005F7846" w:rsidRDefault="005F7846" w:rsidP="005F7846">
      <w:pPr>
        <w:widowControl w:val="0"/>
        <w:autoSpaceDE w:val="0"/>
        <w:autoSpaceDN w:val="0"/>
        <w:adjustRightInd w:val="0"/>
        <w:spacing w:after="0" w:line="240" w:lineRule="auto"/>
        <w:ind w:left="480" w:hanging="480"/>
        <w:jc w:val="both"/>
        <w:rPr>
          <w:rFonts w:asciiTheme="minorHAnsi" w:hAnsiTheme="minorHAnsi" w:cstheme="minorHAnsi"/>
          <w:noProof/>
          <w:sz w:val="24"/>
          <w:szCs w:val="24"/>
        </w:rPr>
      </w:pPr>
      <w:r w:rsidRPr="005F7846">
        <w:rPr>
          <w:rFonts w:asciiTheme="minorHAnsi" w:hAnsiTheme="minorHAnsi" w:cstheme="minorHAnsi"/>
          <w:noProof/>
          <w:sz w:val="24"/>
          <w:szCs w:val="24"/>
        </w:rPr>
        <w:t xml:space="preserve">Sam, ‘Ribuan Perusahaan Tambang Belum Setor Dana Jaminan Reklamasi Dan Pascatambang’, </w:t>
      </w:r>
      <w:r w:rsidRPr="005F7846">
        <w:rPr>
          <w:rFonts w:asciiTheme="minorHAnsi" w:hAnsiTheme="minorHAnsi" w:cstheme="minorHAnsi"/>
          <w:i/>
          <w:iCs/>
          <w:noProof/>
          <w:sz w:val="24"/>
          <w:szCs w:val="24"/>
        </w:rPr>
        <w:t>Eksplorasi.Id</w:t>
      </w:r>
      <w:r w:rsidRPr="005F7846">
        <w:rPr>
          <w:rFonts w:asciiTheme="minorHAnsi" w:hAnsiTheme="minorHAnsi" w:cstheme="minorHAnsi"/>
          <w:noProof/>
          <w:sz w:val="24"/>
          <w:szCs w:val="24"/>
        </w:rPr>
        <w:t>, 2019</w:t>
      </w:r>
    </w:p>
    <w:p w:rsidR="005F7846" w:rsidRPr="005F7846" w:rsidRDefault="005F7846" w:rsidP="005F7846">
      <w:pPr>
        <w:widowControl w:val="0"/>
        <w:autoSpaceDE w:val="0"/>
        <w:autoSpaceDN w:val="0"/>
        <w:adjustRightInd w:val="0"/>
        <w:spacing w:after="0" w:line="240" w:lineRule="auto"/>
        <w:ind w:left="480" w:hanging="480"/>
        <w:jc w:val="both"/>
        <w:rPr>
          <w:rFonts w:asciiTheme="minorHAnsi" w:hAnsiTheme="minorHAnsi" w:cstheme="minorHAnsi"/>
          <w:noProof/>
          <w:sz w:val="24"/>
          <w:szCs w:val="24"/>
        </w:rPr>
      </w:pPr>
      <w:r w:rsidRPr="005F7846">
        <w:rPr>
          <w:rFonts w:asciiTheme="minorHAnsi" w:hAnsiTheme="minorHAnsi" w:cstheme="minorHAnsi"/>
          <w:noProof/>
          <w:sz w:val="24"/>
          <w:szCs w:val="24"/>
        </w:rPr>
        <w:t xml:space="preserve">Sasaoka, Takashi, Hiroshi Takamoto, Hideki Shimada, Jiro Oya, Akihiro Hamanaka, and Kikuo Matsui, ‘Surface Subsidence Due to Underground Mining Operation under Weak Geological Condition in Indonesia’, </w:t>
      </w:r>
      <w:r w:rsidRPr="005F7846">
        <w:rPr>
          <w:rFonts w:asciiTheme="minorHAnsi" w:hAnsiTheme="minorHAnsi" w:cstheme="minorHAnsi"/>
          <w:i/>
          <w:iCs/>
          <w:noProof/>
          <w:sz w:val="24"/>
          <w:szCs w:val="24"/>
        </w:rPr>
        <w:t>Journal of Rock Mechanics and Geotechnical Engineering</w:t>
      </w:r>
      <w:r w:rsidRPr="005F7846">
        <w:rPr>
          <w:rFonts w:asciiTheme="minorHAnsi" w:hAnsiTheme="minorHAnsi" w:cstheme="minorHAnsi"/>
          <w:noProof/>
          <w:sz w:val="24"/>
          <w:szCs w:val="24"/>
        </w:rPr>
        <w:t>, 7.3 (2015), 337–44 &lt;https://doi.org/10.1016/j.jrmge.2015.01.007&gt;</w:t>
      </w:r>
    </w:p>
    <w:p w:rsidR="005F7846" w:rsidRPr="005F7846" w:rsidRDefault="005F7846" w:rsidP="005F7846">
      <w:pPr>
        <w:widowControl w:val="0"/>
        <w:autoSpaceDE w:val="0"/>
        <w:autoSpaceDN w:val="0"/>
        <w:adjustRightInd w:val="0"/>
        <w:spacing w:after="0" w:line="240" w:lineRule="auto"/>
        <w:ind w:left="480" w:hanging="480"/>
        <w:jc w:val="both"/>
        <w:rPr>
          <w:rFonts w:asciiTheme="minorHAnsi" w:hAnsiTheme="minorHAnsi" w:cstheme="minorHAnsi"/>
          <w:noProof/>
          <w:sz w:val="24"/>
          <w:szCs w:val="24"/>
        </w:rPr>
      </w:pPr>
      <w:r w:rsidRPr="005F7846">
        <w:rPr>
          <w:rFonts w:asciiTheme="minorHAnsi" w:hAnsiTheme="minorHAnsi" w:cstheme="minorHAnsi"/>
          <w:noProof/>
          <w:sz w:val="24"/>
          <w:szCs w:val="24"/>
        </w:rPr>
        <w:t xml:space="preserve">Siboy, Ahmad, Al-fatih Virga, Dwi Efendi, and Putri Hidayah, ‘The Effectiveness of Administrative Efforts in Reducing State Administration Disputes’, </w:t>
      </w:r>
      <w:r w:rsidRPr="005F7846">
        <w:rPr>
          <w:rFonts w:asciiTheme="minorHAnsi" w:hAnsiTheme="minorHAnsi" w:cstheme="minorHAnsi"/>
          <w:i/>
          <w:iCs/>
          <w:noProof/>
          <w:sz w:val="24"/>
          <w:szCs w:val="24"/>
        </w:rPr>
        <w:t>Journal of Human Rights, Culture and Legal System</w:t>
      </w:r>
      <w:r w:rsidRPr="005F7846">
        <w:rPr>
          <w:rFonts w:asciiTheme="minorHAnsi" w:hAnsiTheme="minorHAnsi" w:cstheme="minorHAnsi"/>
          <w:noProof/>
          <w:sz w:val="24"/>
          <w:szCs w:val="24"/>
        </w:rPr>
        <w:t>, 2.1 (2022), 14–30 &lt;https://doi.org/https://doi.org/10.53955/jhcls.v2i1.23&gt;</w:t>
      </w:r>
    </w:p>
    <w:p w:rsidR="005F7846" w:rsidRPr="005F7846" w:rsidRDefault="005F7846" w:rsidP="005F7846">
      <w:pPr>
        <w:widowControl w:val="0"/>
        <w:autoSpaceDE w:val="0"/>
        <w:autoSpaceDN w:val="0"/>
        <w:adjustRightInd w:val="0"/>
        <w:spacing w:after="0" w:line="240" w:lineRule="auto"/>
        <w:ind w:left="480" w:hanging="480"/>
        <w:jc w:val="both"/>
        <w:rPr>
          <w:rFonts w:asciiTheme="minorHAnsi" w:hAnsiTheme="minorHAnsi" w:cstheme="minorHAnsi"/>
          <w:noProof/>
          <w:sz w:val="24"/>
          <w:szCs w:val="24"/>
        </w:rPr>
      </w:pPr>
      <w:r w:rsidRPr="005F7846">
        <w:rPr>
          <w:rFonts w:asciiTheme="minorHAnsi" w:hAnsiTheme="minorHAnsi" w:cstheme="minorHAnsi"/>
          <w:noProof/>
          <w:sz w:val="24"/>
          <w:szCs w:val="24"/>
        </w:rPr>
        <w:t xml:space="preserve">Su, Chi Wei, Khalid Khan, Muhammad Umar, and Weike Zhang, ‘Does Renewable Energy Redefine Geopolitical Risks?’, </w:t>
      </w:r>
      <w:r w:rsidRPr="005F7846">
        <w:rPr>
          <w:rFonts w:asciiTheme="minorHAnsi" w:hAnsiTheme="minorHAnsi" w:cstheme="minorHAnsi"/>
          <w:i/>
          <w:iCs/>
          <w:noProof/>
          <w:sz w:val="24"/>
          <w:szCs w:val="24"/>
        </w:rPr>
        <w:t>Energy Policy</w:t>
      </w:r>
      <w:r w:rsidRPr="005F7846">
        <w:rPr>
          <w:rFonts w:asciiTheme="minorHAnsi" w:hAnsiTheme="minorHAnsi" w:cstheme="minorHAnsi"/>
          <w:noProof/>
          <w:sz w:val="24"/>
          <w:szCs w:val="24"/>
        </w:rPr>
        <w:t>, 158.May (2021), 112566 &lt;https://doi.org/10.1016/j.enpol.2021.112566&gt;</w:t>
      </w:r>
    </w:p>
    <w:p w:rsidR="005F7846" w:rsidRPr="005F7846" w:rsidRDefault="005F7846" w:rsidP="005F7846">
      <w:pPr>
        <w:widowControl w:val="0"/>
        <w:autoSpaceDE w:val="0"/>
        <w:autoSpaceDN w:val="0"/>
        <w:adjustRightInd w:val="0"/>
        <w:spacing w:after="0" w:line="240" w:lineRule="auto"/>
        <w:ind w:left="480" w:hanging="480"/>
        <w:jc w:val="both"/>
        <w:rPr>
          <w:rFonts w:asciiTheme="minorHAnsi" w:hAnsiTheme="minorHAnsi" w:cstheme="minorHAnsi"/>
          <w:noProof/>
          <w:sz w:val="24"/>
          <w:szCs w:val="24"/>
        </w:rPr>
      </w:pPr>
      <w:r w:rsidRPr="005F7846">
        <w:rPr>
          <w:rFonts w:asciiTheme="minorHAnsi" w:hAnsiTheme="minorHAnsi" w:cstheme="minorHAnsi"/>
          <w:noProof/>
          <w:sz w:val="24"/>
          <w:szCs w:val="24"/>
        </w:rPr>
        <w:t xml:space="preserve">Sunarso, Siswanto, </w:t>
      </w:r>
      <w:r w:rsidRPr="005F7846">
        <w:rPr>
          <w:rFonts w:asciiTheme="minorHAnsi" w:hAnsiTheme="minorHAnsi" w:cstheme="minorHAnsi"/>
          <w:i/>
          <w:iCs/>
          <w:noProof/>
          <w:sz w:val="24"/>
          <w:szCs w:val="24"/>
        </w:rPr>
        <w:t>Hukum Pidana Lingkungan Hidup Dan Strategi Penyelesaian Sengketa</w:t>
      </w:r>
      <w:r w:rsidRPr="005F7846">
        <w:rPr>
          <w:rFonts w:asciiTheme="minorHAnsi" w:hAnsiTheme="minorHAnsi" w:cstheme="minorHAnsi"/>
          <w:noProof/>
          <w:sz w:val="24"/>
          <w:szCs w:val="24"/>
        </w:rPr>
        <w:t xml:space="preserve"> (Jakarta: PT Rineka Cipta, 2005)</w:t>
      </w:r>
    </w:p>
    <w:p w:rsidR="005F7846" w:rsidRPr="005F7846" w:rsidRDefault="005F7846" w:rsidP="005F7846">
      <w:pPr>
        <w:widowControl w:val="0"/>
        <w:autoSpaceDE w:val="0"/>
        <w:autoSpaceDN w:val="0"/>
        <w:adjustRightInd w:val="0"/>
        <w:spacing w:after="0" w:line="240" w:lineRule="auto"/>
        <w:ind w:left="480" w:hanging="480"/>
        <w:jc w:val="both"/>
        <w:rPr>
          <w:rFonts w:asciiTheme="minorHAnsi" w:hAnsiTheme="minorHAnsi" w:cstheme="minorHAnsi"/>
          <w:noProof/>
          <w:sz w:val="24"/>
          <w:szCs w:val="24"/>
        </w:rPr>
      </w:pPr>
      <w:r w:rsidRPr="005F7846">
        <w:rPr>
          <w:rFonts w:asciiTheme="minorHAnsi" w:hAnsiTheme="minorHAnsi" w:cstheme="minorHAnsi"/>
          <w:noProof/>
          <w:sz w:val="24"/>
          <w:szCs w:val="24"/>
        </w:rPr>
        <w:t xml:space="preserve">Tormos-Aponte, Fernando, Gustavo García-López, and Mary Angelica Painter, ‘Energy Inequality and Clientelism in the Wake of Disasters: From Colorblind to Affirmative Power Restoration’, </w:t>
      </w:r>
      <w:r w:rsidRPr="005F7846">
        <w:rPr>
          <w:rFonts w:asciiTheme="minorHAnsi" w:hAnsiTheme="minorHAnsi" w:cstheme="minorHAnsi"/>
          <w:i/>
          <w:iCs/>
          <w:noProof/>
          <w:sz w:val="24"/>
          <w:szCs w:val="24"/>
        </w:rPr>
        <w:t>Energy Policy</w:t>
      </w:r>
      <w:r w:rsidRPr="005F7846">
        <w:rPr>
          <w:rFonts w:asciiTheme="minorHAnsi" w:hAnsiTheme="minorHAnsi" w:cstheme="minorHAnsi"/>
          <w:noProof/>
          <w:sz w:val="24"/>
          <w:szCs w:val="24"/>
        </w:rPr>
        <w:t>, 158.August (2021) &lt;https://doi.org/10.1016/j.enpol.2021.112550&gt;</w:t>
      </w:r>
    </w:p>
    <w:p w:rsidR="005F7846" w:rsidRPr="005F7846" w:rsidRDefault="005F7846" w:rsidP="005F7846">
      <w:pPr>
        <w:widowControl w:val="0"/>
        <w:autoSpaceDE w:val="0"/>
        <w:autoSpaceDN w:val="0"/>
        <w:adjustRightInd w:val="0"/>
        <w:spacing w:after="0" w:line="240" w:lineRule="auto"/>
        <w:ind w:left="480" w:hanging="480"/>
        <w:jc w:val="both"/>
        <w:rPr>
          <w:rFonts w:asciiTheme="minorHAnsi" w:hAnsiTheme="minorHAnsi" w:cstheme="minorHAnsi"/>
          <w:noProof/>
          <w:sz w:val="24"/>
          <w:szCs w:val="24"/>
        </w:rPr>
      </w:pPr>
      <w:r w:rsidRPr="005F7846">
        <w:rPr>
          <w:rFonts w:asciiTheme="minorHAnsi" w:hAnsiTheme="minorHAnsi" w:cstheme="minorHAnsi"/>
          <w:noProof/>
          <w:sz w:val="24"/>
          <w:szCs w:val="24"/>
        </w:rPr>
        <w:t xml:space="preserve">Toumbourou, Tessa, ‘Samarinda’s Deadly Mining Pits’, </w:t>
      </w:r>
      <w:r w:rsidRPr="005F7846">
        <w:rPr>
          <w:rFonts w:asciiTheme="minorHAnsi" w:hAnsiTheme="minorHAnsi" w:cstheme="minorHAnsi"/>
          <w:i/>
          <w:iCs/>
          <w:noProof/>
          <w:sz w:val="24"/>
          <w:szCs w:val="24"/>
        </w:rPr>
        <w:t>Inside Indonesia</w:t>
      </w:r>
      <w:r w:rsidRPr="005F7846">
        <w:rPr>
          <w:rFonts w:asciiTheme="minorHAnsi" w:hAnsiTheme="minorHAnsi" w:cstheme="minorHAnsi"/>
          <w:noProof/>
          <w:sz w:val="24"/>
          <w:szCs w:val="24"/>
        </w:rPr>
        <w:t>, 2016</w:t>
      </w:r>
    </w:p>
    <w:p w:rsidR="005F7846" w:rsidRPr="005F7846" w:rsidRDefault="005F7846" w:rsidP="005F7846">
      <w:pPr>
        <w:widowControl w:val="0"/>
        <w:autoSpaceDE w:val="0"/>
        <w:autoSpaceDN w:val="0"/>
        <w:adjustRightInd w:val="0"/>
        <w:spacing w:after="0" w:line="240" w:lineRule="auto"/>
        <w:ind w:left="480" w:hanging="480"/>
        <w:jc w:val="both"/>
        <w:rPr>
          <w:rFonts w:asciiTheme="minorHAnsi" w:hAnsiTheme="minorHAnsi" w:cstheme="minorHAnsi"/>
          <w:noProof/>
          <w:sz w:val="24"/>
          <w:szCs w:val="24"/>
        </w:rPr>
      </w:pPr>
      <w:r w:rsidRPr="005F7846">
        <w:rPr>
          <w:rFonts w:asciiTheme="minorHAnsi" w:hAnsiTheme="minorHAnsi" w:cstheme="minorHAnsi"/>
          <w:noProof/>
          <w:sz w:val="24"/>
          <w:szCs w:val="24"/>
        </w:rPr>
        <w:t xml:space="preserve">Umah, Anisatul, ‘814 Lubang Tambang Di Kalses Disebut Tak Direklamasi, Serius?’, </w:t>
      </w:r>
      <w:r w:rsidRPr="005F7846">
        <w:rPr>
          <w:rFonts w:asciiTheme="minorHAnsi" w:hAnsiTheme="minorHAnsi" w:cstheme="minorHAnsi"/>
          <w:i/>
          <w:iCs/>
          <w:noProof/>
          <w:sz w:val="24"/>
          <w:szCs w:val="24"/>
        </w:rPr>
        <w:t>CNBC Indonesia</w:t>
      </w:r>
      <w:r w:rsidRPr="005F7846">
        <w:rPr>
          <w:rFonts w:asciiTheme="minorHAnsi" w:hAnsiTheme="minorHAnsi" w:cstheme="minorHAnsi"/>
          <w:noProof/>
          <w:sz w:val="24"/>
          <w:szCs w:val="24"/>
        </w:rPr>
        <w:t>, 2020</w:t>
      </w:r>
    </w:p>
    <w:p w:rsidR="005F7846" w:rsidRPr="005F7846" w:rsidRDefault="005F7846" w:rsidP="005F7846">
      <w:pPr>
        <w:widowControl w:val="0"/>
        <w:autoSpaceDE w:val="0"/>
        <w:autoSpaceDN w:val="0"/>
        <w:adjustRightInd w:val="0"/>
        <w:spacing w:after="0" w:line="240" w:lineRule="auto"/>
        <w:ind w:left="480" w:hanging="480"/>
        <w:jc w:val="both"/>
        <w:rPr>
          <w:rFonts w:asciiTheme="minorHAnsi" w:hAnsiTheme="minorHAnsi" w:cstheme="minorHAnsi"/>
          <w:noProof/>
          <w:sz w:val="24"/>
          <w:szCs w:val="24"/>
        </w:rPr>
      </w:pPr>
      <w:r w:rsidRPr="005F7846">
        <w:rPr>
          <w:rFonts w:asciiTheme="minorHAnsi" w:hAnsiTheme="minorHAnsi" w:cstheme="minorHAnsi"/>
          <w:noProof/>
          <w:sz w:val="24"/>
          <w:szCs w:val="24"/>
        </w:rPr>
        <w:t xml:space="preserve">———, ‘Ribuan Lubang Tambang Tak Direklamasi?Begini Data ESDM’, </w:t>
      </w:r>
      <w:r w:rsidRPr="005F7846">
        <w:rPr>
          <w:rFonts w:asciiTheme="minorHAnsi" w:hAnsiTheme="minorHAnsi" w:cstheme="minorHAnsi"/>
          <w:i/>
          <w:iCs/>
          <w:noProof/>
          <w:sz w:val="24"/>
          <w:szCs w:val="24"/>
        </w:rPr>
        <w:t>CNBC Indonesia</w:t>
      </w:r>
      <w:r w:rsidRPr="005F7846">
        <w:rPr>
          <w:rFonts w:asciiTheme="minorHAnsi" w:hAnsiTheme="minorHAnsi" w:cstheme="minorHAnsi"/>
          <w:noProof/>
          <w:sz w:val="24"/>
          <w:szCs w:val="24"/>
        </w:rPr>
        <w:t>, 2021</w:t>
      </w:r>
    </w:p>
    <w:p w:rsidR="005F7846" w:rsidRPr="005F7846" w:rsidRDefault="005F7846" w:rsidP="005F7846">
      <w:pPr>
        <w:widowControl w:val="0"/>
        <w:autoSpaceDE w:val="0"/>
        <w:autoSpaceDN w:val="0"/>
        <w:adjustRightInd w:val="0"/>
        <w:spacing w:after="0" w:line="240" w:lineRule="auto"/>
        <w:ind w:left="480" w:hanging="480"/>
        <w:jc w:val="both"/>
        <w:rPr>
          <w:rFonts w:asciiTheme="minorHAnsi" w:hAnsiTheme="minorHAnsi" w:cstheme="minorHAnsi"/>
          <w:noProof/>
          <w:sz w:val="24"/>
          <w:szCs w:val="24"/>
        </w:rPr>
      </w:pPr>
      <w:r w:rsidRPr="005F7846">
        <w:rPr>
          <w:rFonts w:asciiTheme="minorHAnsi" w:hAnsiTheme="minorHAnsi" w:cstheme="minorHAnsi"/>
          <w:i/>
          <w:iCs/>
          <w:noProof/>
          <w:sz w:val="24"/>
          <w:szCs w:val="24"/>
        </w:rPr>
        <w:t>Undang-Undang Nomor 32 Tahun 2009 Tentang Perlindungan Dan Pengelolaan Lingkungan Hidup</w:t>
      </w:r>
    </w:p>
    <w:p w:rsidR="005F7846" w:rsidRPr="005F7846" w:rsidRDefault="005F7846" w:rsidP="005F7846">
      <w:pPr>
        <w:widowControl w:val="0"/>
        <w:autoSpaceDE w:val="0"/>
        <w:autoSpaceDN w:val="0"/>
        <w:adjustRightInd w:val="0"/>
        <w:spacing w:after="0" w:line="240" w:lineRule="auto"/>
        <w:ind w:left="480" w:hanging="480"/>
        <w:jc w:val="both"/>
        <w:rPr>
          <w:rFonts w:asciiTheme="minorHAnsi" w:hAnsiTheme="minorHAnsi" w:cstheme="minorHAnsi"/>
          <w:noProof/>
          <w:sz w:val="24"/>
          <w:szCs w:val="24"/>
        </w:rPr>
      </w:pPr>
      <w:r w:rsidRPr="005F7846">
        <w:rPr>
          <w:rFonts w:asciiTheme="minorHAnsi" w:hAnsiTheme="minorHAnsi" w:cstheme="minorHAnsi"/>
          <w:noProof/>
          <w:sz w:val="24"/>
          <w:szCs w:val="24"/>
        </w:rPr>
        <w:t xml:space="preserve">Wahyuni, Sri, Dian Luthviati, and Muhhamd Hayat, ‘The Registration Policy of Interfaith </w:t>
      </w:r>
      <w:r w:rsidRPr="005F7846">
        <w:rPr>
          <w:rFonts w:asciiTheme="minorHAnsi" w:hAnsiTheme="minorHAnsi" w:cstheme="minorHAnsi"/>
          <w:noProof/>
          <w:sz w:val="24"/>
          <w:szCs w:val="24"/>
        </w:rPr>
        <w:lastRenderedPageBreak/>
        <w:t xml:space="preserve">Marriage Overseas for Indonesian Citizen’, </w:t>
      </w:r>
      <w:r w:rsidRPr="005F7846">
        <w:rPr>
          <w:rFonts w:asciiTheme="minorHAnsi" w:hAnsiTheme="minorHAnsi" w:cstheme="minorHAnsi"/>
          <w:i/>
          <w:iCs/>
          <w:noProof/>
          <w:sz w:val="24"/>
          <w:szCs w:val="24"/>
        </w:rPr>
        <w:t>Bestuur</w:t>
      </w:r>
      <w:r w:rsidRPr="005F7846">
        <w:rPr>
          <w:rFonts w:asciiTheme="minorHAnsi" w:hAnsiTheme="minorHAnsi" w:cstheme="minorHAnsi"/>
          <w:noProof/>
          <w:sz w:val="24"/>
          <w:szCs w:val="24"/>
        </w:rPr>
        <w:t>, 10.1 (2022), 12–21</w:t>
      </w:r>
    </w:p>
    <w:p w:rsidR="005F7846" w:rsidRPr="005F7846" w:rsidRDefault="005F7846" w:rsidP="005F7846">
      <w:pPr>
        <w:widowControl w:val="0"/>
        <w:autoSpaceDE w:val="0"/>
        <w:autoSpaceDN w:val="0"/>
        <w:adjustRightInd w:val="0"/>
        <w:spacing w:after="0" w:line="240" w:lineRule="auto"/>
        <w:ind w:left="480" w:hanging="480"/>
        <w:jc w:val="both"/>
        <w:rPr>
          <w:rFonts w:asciiTheme="minorHAnsi" w:hAnsiTheme="minorHAnsi" w:cstheme="minorHAnsi"/>
          <w:noProof/>
          <w:sz w:val="24"/>
          <w:szCs w:val="24"/>
        </w:rPr>
      </w:pPr>
      <w:r w:rsidRPr="005F7846">
        <w:rPr>
          <w:rFonts w:asciiTheme="minorHAnsi" w:hAnsiTheme="minorHAnsi" w:cstheme="minorHAnsi"/>
          <w:noProof/>
          <w:sz w:val="24"/>
          <w:szCs w:val="24"/>
        </w:rPr>
        <w:t xml:space="preserve">Wang, Di, Zhiyuan Zhang, Xiaodi Yang, Yanfang Zhang, Yuman Li, and Yueying Zhao, ‘Multi-Scenario Simulation on the Impact of China’s Electricity Bidding Policy Based on Complex Networks Model’, </w:t>
      </w:r>
      <w:r w:rsidRPr="005F7846">
        <w:rPr>
          <w:rFonts w:asciiTheme="minorHAnsi" w:hAnsiTheme="minorHAnsi" w:cstheme="minorHAnsi"/>
          <w:i/>
          <w:iCs/>
          <w:noProof/>
          <w:sz w:val="24"/>
          <w:szCs w:val="24"/>
        </w:rPr>
        <w:t>Energy Policy</w:t>
      </w:r>
      <w:r w:rsidRPr="005F7846">
        <w:rPr>
          <w:rFonts w:asciiTheme="minorHAnsi" w:hAnsiTheme="minorHAnsi" w:cstheme="minorHAnsi"/>
          <w:noProof/>
          <w:sz w:val="24"/>
          <w:szCs w:val="24"/>
        </w:rPr>
        <w:t>, 158.April (2021), 112573 &lt;https://doi.org/10.1016/j.enpol.2021.112573&gt;</w:t>
      </w:r>
    </w:p>
    <w:p w:rsidR="005F7846" w:rsidRPr="005F7846" w:rsidRDefault="005F7846" w:rsidP="005F7846">
      <w:pPr>
        <w:widowControl w:val="0"/>
        <w:autoSpaceDE w:val="0"/>
        <w:autoSpaceDN w:val="0"/>
        <w:adjustRightInd w:val="0"/>
        <w:spacing w:after="0" w:line="240" w:lineRule="auto"/>
        <w:ind w:left="480" w:hanging="480"/>
        <w:jc w:val="both"/>
        <w:rPr>
          <w:rFonts w:asciiTheme="minorHAnsi" w:hAnsiTheme="minorHAnsi" w:cstheme="minorHAnsi"/>
          <w:noProof/>
          <w:sz w:val="24"/>
          <w:szCs w:val="24"/>
        </w:rPr>
      </w:pPr>
      <w:r w:rsidRPr="005F7846">
        <w:rPr>
          <w:rFonts w:asciiTheme="minorHAnsi" w:hAnsiTheme="minorHAnsi" w:cstheme="minorHAnsi"/>
          <w:noProof/>
          <w:sz w:val="24"/>
          <w:szCs w:val="24"/>
        </w:rPr>
        <w:t xml:space="preserve">Warner, Robin, ‘International Environmental Law Principles Relevant to Exploitation Activity in the Area’, </w:t>
      </w:r>
      <w:r w:rsidRPr="005F7846">
        <w:rPr>
          <w:rFonts w:asciiTheme="minorHAnsi" w:hAnsiTheme="minorHAnsi" w:cstheme="minorHAnsi"/>
          <w:i/>
          <w:iCs/>
          <w:noProof/>
          <w:sz w:val="24"/>
          <w:szCs w:val="24"/>
        </w:rPr>
        <w:t>Marine Policy</w:t>
      </w:r>
      <w:r w:rsidRPr="005F7846">
        <w:rPr>
          <w:rFonts w:asciiTheme="minorHAnsi" w:hAnsiTheme="minorHAnsi" w:cstheme="minorHAnsi"/>
          <w:noProof/>
          <w:sz w:val="24"/>
          <w:szCs w:val="24"/>
        </w:rPr>
        <w:t>, 114.May 2018 (2020), 103503 &lt;https://doi.org/10.1016/j.marpol.2019.04.007&gt;</w:t>
      </w:r>
    </w:p>
    <w:p w:rsidR="005F7846" w:rsidRPr="005F7846" w:rsidRDefault="005F7846" w:rsidP="005F7846">
      <w:pPr>
        <w:widowControl w:val="0"/>
        <w:autoSpaceDE w:val="0"/>
        <w:autoSpaceDN w:val="0"/>
        <w:adjustRightInd w:val="0"/>
        <w:spacing w:after="0" w:line="240" w:lineRule="auto"/>
        <w:ind w:left="480" w:hanging="480"/>
        <w:jc w:val="both"/>
        <w:rPr>
          <w:rFonts w:asciiTheme="minorHAnsi" w:hAnsiTheme="minorHAnsi" w:cstheme="minorHAnsi"/>
          <w:noProof/>
          <w:sz w:val="24"/>
          <w:szCs w:val="24"/>
        </w:rPr>
      </w:pPr>
      <w:r w:rsidRPr="005F7846">
        <w:rPr>
          <w:rFonts w:asciiTheme="minorHAnsi" w:hAnsiTheme="minorHAnsi" w:cstheme="minorHAnsi"/>
          <w:noProof/>
          <w:sz w:val="24"/>
          <w:szCs w:val="24"/>
        </w:rPr>
        <w:t xml:space="preserve">Yang, Zhi, Wenping Li, Xiaoqin Li, Qiqing Wang, and Jianghui He, ‘Assessment of Eco-Geo-Environment Quality Using Multivariate Data: A Case Study in a Coal Mining Area of Western China’, </w:t>
      </w:r>
      <w:r w:rsidRPr="005F7846">
        <w:rPr>
          <w:rFonts w:asciiTheme="minorHAnsi" w:hAnsiTheme="minorHAnsi" w:cstheme="minorHAnsi"/>
          <w:i/>
          <w:iCs/>
          <w:noProof/>
          <w:sz w:val="24"/>
          <w:szCs w:val="24"/>
        </w:rPr>
        <w:t>Ecological Indicators</w:t>
      </w:r>
      <w:r w:rsidRPr="005F7846">
        <w:rPr>
          <w:rFonts w:asciiTheme="minorHAnsi" w:hAnsiTheme="minorHAnsi" w:cstheme="minorHAnsi"/>
          <w:noProof/>
          <w:sz w:val="24"/>
          <w:szCs w:val="24"/>
        </w:rPr>
        <w:t>, 107.August (2019), 105651 &lt;https://doi.org/10.1016/j.ecolind.2019.105651&gt;</w:t>
      </w:r>
    </w:p>
    <w:p w:rsidR="005F7846" w:rsidRPr="005F7846" w:rsidRDefault="005F7846" w:rsidP="005F7846">
      <w:pPr>
        <w:widowControl w:val="0"/>
        <w:autoSpaceDE w:val="0"/>
        <w:autoSpaceDN w:val="0"/>
        <w:adjustRightInd w:val="0"/>
        <w:spacing w:after="0" w:line="240" w:lineRule="auto"/>
        <w:ind w:left="480" w:hanging="480"/>
        <w:jc w:val="both"/>
        <w:rPr>
          <w:rFonts w:asciiTheme="minorHAnsi" w:hAnsiTheme="minorHAnsi" w:cstheme="minorHAnsi"/>
          <w:noProof/>
          <w:sz w:val="24"/>
        </w:rPr>
      </w:pPr>
      <w:r w:rsidRPr="005F7846">
        <w:rPr>
          <w:rFonts w:asciiTheme="minorHAnsi" w:hAnsiTheme="minorHAnsi" w:cstheme="minorHAnsi"/>
          <w:noProof/>
          <w:sz w:val="24"/>
          <w:szCs w:val="24"/>
        </w:rPr>
        <w:t xml:space="preserve">Zulkifli, ‘Sexy Killers, Film Yang Mengungkap Sisi Lain Penambangan Batu Bara Di Kalimantan Timur’, </w:t>
      </w:r>
      <w:r w:rsidRPr="005F7846">
        <w:rPr>
          <w:rFonts w:asciiTheme="minorHAnsi" w:hAnsiTheme="minorHAnsi" w:cstheme="minorHAnsi"/>
          <w:i/>
          <w:iCs/>
          <w:noProof/>
          <w:sz w:val="24"/>
          <w:szCs w:val="24"/>
        </w:rPr>
        <w:t>Kompasiana</w:t>
      </w:r>
      <w:r w:rsidRPr="005F7846">
        <w:rPr>
          <w:rFonts w:asciiTheme="minorHAnsi" w:hAnsiTheme="minorHAnsi" w:cstheme="minorHAnsi"/>
          <w:noProof/>
          <w:sz w:val="24"/>
          <w:szCs w:val="24"/>
        </w:rPr>
        <w:t>, 2019</w:t>
      </w:r>
    </w:p>
    <w:p w:rsidR="00D44E17" w:rsidRPr="00223602" w:rsidRDefault="005F7846" w:rsidP="005F7846">
      <w:pPr>
        <w:spacing w:after="0" w:line="240" w:lineRule="auto"/>
        <w:ind w:left="709" w:hanging="709"/>
        <w:jc w:val="both"/>
        <w:rPr>
          <w:rFonts w:asciiTheme="majorHAnsi" w:hAnsiTheme="majorHAnsi" w:cstheme="majorHAnsi"/>
          <w:sz w:val="24"/>
          <w:szCs w:val="24"/>
        </w:rPr>
      </w:pPr>
      <w:r w:rsidRPr="005F7846">
        <w:rPr>
          <w:rFonts w:asciiTheme="minorHAnsi" w:hAnsiTheme="minorHAnsi" w:cstheme="minorHAnsi"/>
          <w:sz w:val="24"/>
          <w:szCs w:val="24"/>
        </w:rPr>
        <w:fldChar w:fldCharType="end"/>
      </w:r>
    </w:p>
    <w:p w:rsidR="000F4488" w:rsidRPr="003A0113" w:rsidRDefault="000F4488" w:rsidP="006520AB">
      <w:pPr>
        <w:spacing w:after="0" w:line="240" w:lineRule="auto"/>
        <w:ind w:left="709" w:hanging="709"/>
        <w:rPr>
          <w:rFonts w:asciiTheme="majorHAnsi" w:hAnsiTheme="majorHAnsi" w:cstheme="majorHAnsi"/>
          <w:sz w:val="24"/>
          <w:szCs w:val="24"/>
        </w:rPr>
      </w:pPr>
    </w:p>
    <w:p w:rsidR="000F4488" w:rsidRPr="003A0113" w:rsidRDefault="000F4488" w:rsidP="006520AB">
      <w:pPr>
        <w:spacing w:after="0" w:line="240" w:lineRule="auto"/>
        <w:ind w:left="709" w:hanging="709"/>
        <w:rPr>
          <w:rFonts w:asciiTheme="majorHAnsi" w:hAnsiTheme="majorHAnsi" w:cstheme="majorHAnsi"/>
          <w:sz w:val="24"/>
          <w:szCs w:val="24"/>
        </w:rPr>
      </w:pPr>
    </w:p>
    <w:p w:rsidR="000F4488" w:rsidRPr="003A0113" w:rsidRDefault="000F4488" w:rsidP="006520AB">
      <w:pPr>
        <w:spacing w:after="0" w:line="240" w:lineRule="auto"/>
        <w:ind w:left="709" w:hanging="709"/>
        <w:rPr>
          <w:rFonts w:asciiTheme="majorHAnsi" w:hAnsiTheme="majorHAnsi" w:cstheme="majorHAnsi"/>
          <w:sz w:val="24"/>
          <w:szCs w:val="24"/>
        </w:rPr>
      </w:pPr>
    </w:p>
    <w:p w:rsidR="000F4488" w:rsidRPr="003A0113" w:rsidRDefault="00B15D99" w:rsidP="006520AB">
      <w:pPr>
        <w:spacing w:after="0" w:line="240" w:lineRule="auto"/>
        <w:ind w:left="709" w:hanging="709"/>
        <w:rPr>
          <w:rFonts w:asciiTheme="majorHAnsi" w:hAnsiTheme="majorHAnsi" w:cstheme="majorHAnsi"/>
          <w:sz w:val="24"/>
          <w:szCs w:val="24"/>
        </w:rPr>
      </w:pPr>
      <w:r>
        <w:rPr>
          <w:rFonts w:asciiTheme="majorHAnsi" w:hAnsiTheme="majorHAnsi" w:cstheme="majorHAnsi"/>
          <w:noProof/>
          <w:sz w:val="24"/>
          <w:szCs w:val="24"/>
        </w:rPr>
        <w:drawing>
          <wp:anchor distT="0" distB="0" distL="114300" distR="114300" simplePos="0" relativeHeight="251658240" behindDoc="0" locked="0" layoutInCell="1" allowOverlap="1" wp14:anchorId="6E3A814C" wp14:editId="557F3439">
            <wp:simplePos x="0" y="0"/>
            <wp:positionH relativeFrom="column">
              <wp:posOffset>1270</wp:posOffset>
            </wp:positionH>
            <wp:positionV relativeFrom="paragraph">
              <wp:posOffset>638579</wp:posOffset>
            </wp:positionV>
            <wp:extent cx="5400040" cy="141287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OTE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00040" cy="1412875"/>
                    </a:xfrm>
                    <a:prstGeom prst="rect">
                      <a:avLst/>
                    </a:prstGeom>
                  </pic:spPr>
                </pic:pic>
              </a:graphicData>
            </a:graphic>
            <wp14:sizeRelH relativeFrom="page">
              <wp14:pctWidth>0</wp14:pctWidth>
            </wp14:sizeRelH>
            <wp14:sizeRelV relativeFrom="page">
              <wp14:pctHeight>0</wp14:pctHeight>
            </wp14:sizeRelV>
          </wp:anchor>
        </w:drawing>
      </w:r>
    </w:p>
    <w:sectPr w:rsidR="000F4488" w:rsidRPr="003A0113" w:rsidSect="00334F9D">
      <w:headerReference w:type="even" r:id="rId10"/>
      <w:headerReference w:type="default" r:id="rId11"/>
      <w:footerReference w:type="even" r:id="rId12"/>
      <w:footerReference w:type="default" r:id="rId13"/>
      <w:headerReference w:type="first" r:id="rId14"/>
      <w:footerReference w:type="first" r:id="rId15"/>
      <w:pgSz w:w="11906" w:h="16838" w:code="9"/>
      <w:pgMar w:top="1701" w:right="1701" w:bottom="170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D0C47" w:rsidRDefault="000D0C47" w:rsidP="00934130">
      <w:pPr>
        <w:spacing w:after="0" w:line="240" w:lineRule="auto"/>
      </w:pPr>
      <w:r>
        <w:separator/>
      </w:r>
    </w:p>
  </w:endnote>
  <w:endnote w:type="continuationSeparator" w:id="0">
    <w:p w:rsidR="000D0C47" w:rsidRDefault="000D0C47" w:rsidP="00934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rinda">
    <w:panose1 w:val="00000400000000000000"/>
    <w:charset w:val="00"/>
    <w:family w:val="swiss"/>
    <w:pitch w:val="variable"/>
    <w:sig w:usb0="0001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Devanagari MT">
    <w:charset w:val="00"/>
    <w:family w:val="auto"/>
    <w:pitch w:val="variable"/>
    <w:sig w:usb0="80008003" w:usb1="1000C0C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4F9D" w:rsidRPr="00185CD9" w:rsidRDefault="00334F9D">
    <w:pPr>
      <w:pStyle w:val="Footer"/>
      <w:jc w:val="center"/>
      <w:rPr>
        <w:rFonts w:asciiTheme="majorHAnsi" w:hAnsiTheme="majorHAnsi" w:cstheme="majorHAnsi"/>
        <w:color w:val="C00000"/>
        <w:sz w:val="20"/>
      </w:rPr>
    </w:pPr>
    <w:r w:rsidRPr="00185CD9">
      <w:rPr>
        <w:rFonts w:asciiTheme="majorHAnsi" w:hAnsiTheme="majorHAnsi" w:cstheme="majorHAnsi"/>
        <w:color w:val="C00000"/>
        <w:sz w:val="20"/>
      </w:rPr>
      <w:fldChar w:fldCharType="begin"/>
    </w:r>
    <w:r w:rsidRPr="00185CD9">
      <w:rPr>
        <w:rFonts w:asciiTheme="majorHAnsi" w:hAnsiTheme="majorHAnsi" w:cstheme="majorHAnsi"/>
        <w:color w:val="C00000"/>
        <w:sz w:val="20"/>
      </w:rPr>
      <w:instrText xml:space="preserve"> PAGE   \* MERGEFORMAT </w:instrText>
    </w:r>
    <w:r w:rsidRPr="00185CD9">
      <w:rPr>
        <w:rFonts w:asciiTheme="majorHAnsi" w:hAnsiTheme="majorHAnsi" w:cstheme="majorHAnsi"/>
        <w:color w:val="C00000"/>
        <w:sz w:val="20"/>
      </w:rPr>
      <w:fldChar w:fldCharType="separate"/>
    </w:r>
    <w:r w:rsidR="00730927" w:rsidRPr="00185CD9">
      <w:rPr>
        <w:rFonts w:asciiTheme="majorHAnsi" w:hAnsiTheme="majorHAnsi" w:cstheme="majorHAnsi"/>
        <w:noProof/>
        <w:color w:val="C00000"/>
        <w:sz w:val="20"/>
      </w:rPr>
      <w:t>4</w:t>
    </w:r>
    <w:r w:rsidRPr="00185CD9">
      <w:rPr>
        <w:rFonts w:asciiTheme="majorHAnsi" w:hAnsiTheme="majorHAnsi" w:cstheme="majorHAnsi"/>
        <w:noProof/>
        <w:color w:val="C00000"/>
        <w:sz w:val="20"/>
      </w:rPr>
      <w:fldChar w:fldCharType="end"/>
    </w:r>
  </w:p>
  <w:p w:rsidR="00334F9D" w:rsidRPr="00185CD9" w:rsidRDefault="00334F9D">
    <w:pPr>
      <w:pStyle w:val="Footer"/>
      <w:rPr>
        <w:rFonts w:asciiTheme="majorHAnsi" w:hAnsiTheme="majorHAnsi" w:cstheme="maj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45E4" w:rsidRPr="00185CD9" w:rsidRDefault="003045E4">
    <w:pPr>
      <w:pStyle w:val="Footer"/>
      <w:jc w:val="center"/>
      <w:rPr>
        <w:rFonts w:asciiTheme="majorHAnsi" w:hAnsiTheme="majorHAnsi" w:cstheme="majorHAnsi"/>
        <w:color w:val="C00000"/>
        <w:sz w:val="20"/>
      </w:rPr>
    </w:pPr>
    <w:r w:rsidRPr="00185CD9">
      <w:rPr>
        <w:rFonts w:asciiTheme="majorHAnsi" w:hAnsiTheme="majorHAnsi" w:cstheme="majorHAnsi"/>
        <w:color w:val="C00000"/>
        <w:sz w:val="20"/>
      </w:rPr>
      <w:fldChar w:fldCharType="begin"/>
    </w:r>
    <w:r w:rsidRPr="00185CD9">
      <w:rPr>
        <w:rFonts w:asciiTheme="majorHAnsi" w:hAnsiTheme="majorHAnsi" w:cstheme="majorHAnsi"/>
        <w:color w:val="C00000"/>
        <w:sz w:val="20"/>
      </w:rPr>
      <w:instrText xml:space="preserve"> PAGE   \* MERGEFORMAT </w:instrText>
    </w:r>
    <w:r w:rsidRPr="00185CD9">
      <w:rPr>
        <w:rFonts w:asciiTheme="majorHAnsi" w:hAnsiTheme="majorHAnsi" w:cstheme="majorHAnsi"/>
        <w:color w:val="C00000"/>
        <w:sz w:val="20"/>
      </w:rPr>
      <w:fldChar w:fldCharType="separate"/>
    </w:r>
    <w:r w:rsidR="00730927" w:rsidRPr="00185CD9">
      <w:rPr>
        <w:rFonts w:asciiTheme="majorHAnsi" w:hAnsiTheme="majorHAnsi" w:cstheme="majorHAnsi"/>
        <w:noProof/>
        <w:color w:val="C00000"/>
        <w:sz w:val="20"/>
      </w:rPr>
      <w:t>3</w:t>
    </w:r>
    <w:r w:rsidRPr="00185CD9">
      <w:rPr>
        <w:rFonts w:asciiTheme="majorHAnsi" w:hAnsiTheme="majorHAnsi" w:cstheme="majorHAnsi"/>
        <w:noProof/>
        <w:color w:val="C00000"/>
        <w:sz w:val="20"/>
      </w:rPr>
      <w:fldChar w:fldCharType="end"/>
    </w:r>
  </w:p>
  <w:p w:rsidR="003045E4" w:rsidRPr="00185CD9" w:rsidRDefault="003045E4">
    <w:pPr>
      <w:pStyle w:val="Footer"/>
      <w:rPr>
        <w:rFonts w:asciiTheme="majorHAnsi" w:hAnsiTheme="majorHAnsi" w:cstheme="majorHAnsi"/>
        <w:color w:val="C00000"/>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45E4" w:rsidRPr="00C0667C" w:rsidRDefault="003045E4">
    <w:pPr>
      <w:pStyle w:val="Footer"/>
      <w:jc w:val="center"/>
      <w:rPr>
        <w:rFonts w:asciiTheme="majorHAnsi" w:hAnsiTheme="majorHAnsi" w:cstheme="majorHAnsi"/>
        <w:color w:val="C00000"/>
        <w:sz w:val="20"/>
      </w:rPr>
    </w:pPr>
    <w:r w:rsidRPr="00C0667C">
      <w:rPr>
        <w:rFonts w:asciiTheme="majorHAnsi" w:hAnsiTheme="majorHAnsi" w:cstheme="majorHAnsi"/>
        <w:color w:val="C00000"/>
        <w:sz w:val="20"/>
      </w:rPr>
      <w:fldChar w:fldCharType="begin"/>
    </w:r>
    <w:r w:rsidRPr="00C0667C">
      <w:rPr>
        <w:rFonts w:asciiTheme="majorHAnsi" w:hAnsiTheme="majorHAnsi" w:cstheme="majorHAnsi"/>
        <w:color w:val="C00000"/>
        <w:sz w:val="20"/>
      </w:rPr>
      <w:instrText xml:space="preserve"> PAGE   \* MERGEFORMAT </w:instrText>
    </w:r>
    <w:r w:rsidRPr="00C0667C">
      <w:rPr>
        <w:rFonts w:asciiTheme="majorHAnsi" w:hAnsiTheme="majorHAnsi" w:cstheme="majorHAnsi"/>
        <w:color w:val="C00000"/>
        <w:sz w:val="20"/>
      </w:rPr>
      <w:fldChar w:fldCharType="separate"/>
    </w:r>
    <w:r w:rsidR="00730927" w:rsidRPr="00C0667C">
      <w:rPr>
        <w:rFonts w:asciiTheme="majorHAnsi" w:hAnsiTheme="majorHAnsi" w:cstheme="majorHAnsi"/>
        <w:noProof/>
        <w:color w:val="C00000"/>
        <w:sz w:val="20"/>
      </w:rPr>
      <w:t>1</w:t>
    </w:r>
    <w:r w:rsidRPr="00C0667C">
      <w:rPr>
        <w:rFonts w:asciiTheme="majorHAnsi" w:hAnsiTheme="majorHAnsi" w:cstheme="majorHAnsi"/>
        <w:noProof/>
        <w:color w:val="C00000"/>
        <w:sz w:val="20"/>
      </w:rPr>
      <w:fldChar w:fldCharType="end"/>
    </w:r>
  </w:p>
  <w:p w:rsidR="003045E4" w:rsidRPr="00C0667C" w:rsidRDefault="003045E4">
    <w:pPr>
      <w:pStyle w:val="Footer"/>
      <w:rPr>
        <w:rFonts w:asciiTheme="majorHAnsi" w:hAnsiTheme="majorHAnsi" w:cstheme="majorHAnsi"/>
        <w:color w:val="C0000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D0C47" w:rsidRDefault="000D0C47" w:rsidP="00934130">
      <w:pPr>
        <w:spacing w:after="0" w:line="240" w:lineRule="auto"/>
      </w:pPr>
      <w:r>
        <w:separator/>
      </w:r>
    </w:p>
  </w:footnote>
  <w:footnote w:type="continuationSeparator" w:id="0">
    <w:p w:rsidR="000D0C47" w:rsidRDefault="000D0C47" w:rsidP="00934130">
      <w:pPr>
        <w:spacing w:after="0" w:line="240" w:lineRule="auto"/>
      </w:pPr>
      <w:r>
        <w:continuationSeparator/>
      </w:r>
    </w:p>
  </w:footnote>
  <w:footnote w:id="1">
    <w:p w:rsidR="005F7846" w:rsidRPr="005F7846" w:rsidRDefault="005F7846" w:rsidP="005F7846">
      <w:pPr>
        <w:pStyle w:val="FootnoteText"/>
        <w:ind w:firstLine="284"/>
        <w:jc w:val="both"/>
        <w:rPr>
          <w:rFonts w:asciiTheme="majorHAnsi" w:hAnsiTheme="majorHAnsi" w:cstheme="majorHAnsi"/>
        </w:rPr>
      </w:pPr>
      <w:r w:rsidRPr="005F7846">
        <w:rPr>
          <w:rStyle w:val="FootnoteReference"/>
          <w:rFonts w:asciiTheme="majorHAnsi" w:hAnsiTheme="majorHAnsi" w:cstheme="majorHAnsi"/>
        </w:rPr>
        <w:footnoteRef/>
      </w:r>
      <w:r w:rsidRPr="005F7846">
        <w:rPr>
          <w:rFonts w:asciiTheme="majorHAnsi" w:hAnsiTheme="majorHAnsi" w:cstheme="majorHAnsi"/>
        </w:rPr>
        <w:t xml:space="preserve"> </w:t>
      </w:r>
      <w:r w:rsidRPr="005F7846">
        <w:rPr>
          <w:rFonts w:asciiTheme="majorHAnsi" w:hAnsiTheme="majorHAnsi" w:cstheme="majorHAnsi"/>
        </w:rPr>
        <w:fldChar w:fldCharType="begin" w:fldLock="1"/>
      </w:r>
      <w:r>
        <w:rPr>
          <w:rFonts w:asciiTheme="majorHAnsi" w:hAnsiTheme="majorHAnsi" w:cstheme="majorHAnsi"/>
        </w:rPr>
        <w:instrText>ADDIN CSL_CITATION {"citationItems":[{"id":"ITEM-1","itemData":{"DOI":"10.18280/ijsdp.170230","ISSN":"1743761X","abstract":"Indonesia declares itself as a country-oriented towards sustainable development. However, sustainable development goals are not clearly realized in every government policy, particularly on the environmental issue. This problem invites the important question of how Indonesia realizes or constructs public policy regarding waste problems. This paper aims to examine Indonesian public policies, both initiated by the community (informal policy) and government programs (formal policy). Based on the review of the amount of data and literature, this paper finds two arguments. First, the objectives of sustainable development are substantially stated in the Indonesian regulations. This legal policy is a government action in fulfilling citizens' rights regarding the good environment as guaranteed in the Constitution of the Republic of Indonesia. However, this formal policy has not been implemented proportionally. Second, the inefficiency of formal policy is actually patched by informal policies such as policy on personal drinking bottles, policy on the use of organic packing and shopping bags, etc. Nevertheless, in reality, the waste problem in Indonesia is far from what have been expected and still requires more sophisticated solutions both in the formal and informal sectors.","author":[{"dropping-particle":"","family":"Karjoko","given":"Lego","non-dropping-particle":"","parse-names":false,"suffix":""},{"dropping-particle":"","family":"Handayani","given":"I. Gusti Ayu Ketut Rachmi","non-dropping-particle":"","parse-names":false,"suffix":""},{"dropping-particle":"","family":"Jaelani","given":"Abdul Kadir","non-dropping-particle":"","parse-names":false,"suffix":""},{"dropping-particle":"","family":"Hayat","given":"Muhammad Jihadul","non-dropping-particle":"","parse-names":false,"suffix":""}],"container-title":"International Journal of Sustainable Development and Planning","id":"ITEM-1","issue":"2","issued":{"date-parts":[["2022"]]},"page":"649-658","title":"Indonesia's Sustainable Development Goals Resolving Waste Problem: Informal to Formal Policy","type":"article-journal","volume":"17"},"uris":["http://www.mendeley.com/documents/?uuid=673b823f-1493-440c-92f4-859b04c7eb23","http://www.mendeley.com/documents/?uuid=2bcff4c4-9a20-413f-8639-026dc8104ef8","http://www.mendeley.com/documents/?uuid=4a874b51-46b4-437b-9679-41d230f7fdd6"]}],"mendeley":{"formattedCitation":"Lego Karjoko and others, ‘Indonesia’s Sustainable Development Goals Resolving Waste Problem: Informal to Formal Policy’, &lt;i&gt;International Journal of Sustainable Development and Planning&lt;/i&gt;, 17.2 (2022), 649–58 &lt;https://doi.org/10.18280/ijsdp.170230&gt;.","plainTextFormattedCitation":"Lego Karjoko and others, ‘Indonesia’s Sustainable Development Goals Resolving Waste Problem: Informal to Formal Policy’, International Journal of Sustainable Development and Planning, 17.2 (2022), 649–58 .","previouslyFormattedCitation":"Lego Karjoko and others, ‘Indonesia’s Sustainable Development Goals Resolving Waste Problem: Informal to Formal Policy’, &lt;i&gt;International Journal of Sustainable Development and Planning&lt;/i&gt;, 17.2 (2022), 649–58 &lt;https://doi.org/10.18280/ijsdp.170230&gt;."},"properties":{"noteIndex":1},"schema":"https://github.com/citation-style-language/schema/raw/master/csl-citation.json"}</w:instrText>
      </w:r>
      <w:r w:rsidRPr="005F7846">
        <w:rPr>
          <w:rFonts w:asciiTheme="majorHAnsi" w:hAnsiTheme="majorHAnsi" w:cstheme="majorHAnsi"/>
        </w:rPr>
        <w:fldChar w:fldCharType="separate"/>
      </w:r>
      <w:r w:rsidRPr="005F7846">
        <w:rPr>
          <w:rFonts w:asciiTheme="majorHAnsi" w:hAnsiTheme="majorHAnsi" w:cstheme="majorHAnsi"/>
          <w:noProof/>
        </w:rPr>
        <w:t xml:space="preserve">Lego Karjoko and others, ‘Indonesia’s Sustainable Development Goals Resolving Waste Problem: Informal to Formal Policy’, </w:t>
      </w:r>
      <w:r w:rsidRPr="005F7846">
        <w:rPr>
          <w:rFonts w:asciiTheme="majorHAnsi" w:hAnsiTheme="majorHAnsi" w:cstheme="majorHAnsi"/>
          <w:i/>
          <w:noProof/>
        </w:rPr>
        <w:t>International Journal of Sustainable Development and Planning</w:t>
      </w:r>
      <w:r w:rsidRPr="005F7846">
        <w:rPr>
          <w:rFonts w:asciiTheme="majorHAnsi" w:hAnsiTheme="majorHAnsi" w:cstheme="majorHAnsi"/>
          <w:noProof/>
        </w:rPr>
        <w:t>, 17.2 (2022), 649–58 &lt;https://doi.org/10.18280/ijsdp.170230&gt;.</w:t>
      </w:r>
      <w:r w:rsidRPr="005F7846">
        <w:rPr>
          <w:rFonts w:asciiTheme="majorHAnsi" w:hAnsiTheme="majorHAnsi" w:cstheme="majorHAnsi"/>
        </w:rPr>
        <w:fldChar w:fldCharType="end"/>
      </w:r>
    </w:p>
  </w:footnote>
  <w:footnote w:id="2">
    <w:p w:rsidR="005F7846" w:rsidRPr="005F7846" w:rsidRDefault="005F7846" w:rsidP="005F7846">
      <w:pPr>
        <w:pStyle w:val="FootnoteText"/>
        <w:ind w:firstLine="284"/>
        <w:jc w:val="both"/>
        <w:rPr>
          <w:rFonts w:asciiTheme="majorHAnsi" w:hAnsiTheme="majorHAnsi" w:cstheme="majorHAnsi"/>
        </w:rPr>
      </w:pPr>
      <w:r w:rsidRPr="005F7846">
        <w:rPr>
          <w:rStyle w:val="FootnoteReference"/>
          <w:rFonts w:asciiTheme="majorHAnsi" w:hAnsiTheme="majorHAnsi" w:cstheme="majorHAnsi"/>
        </w:rPr>
        <w:footnoteRef/>
      </w:r>
      <w:r w:rsidRPr="005F7846">
        <w:rPr>
          <w:rFonts w:asciiTheme="majorHAnsi" w:hAnsiTheme="majorHAnsi" w:cstheme="majorHAnsi"/>
        </w:rPr>
        <w:t xml:space="preserve"> </w:t>
      </w:r>
      <w:r w:rsidRPr="005F7846">
        <w:rPr>
          <w:rFonts w:asciiTheme="majorHAnsi" w:hAnsiTheme="majorHAnsi" w:cstheme="majorHAnsi"/>
        </w:rPr>
        <w:fldChar w:fldCharType="begin" w:fldLock="1"/>
      </w:r>
      <w:r>
        <w:rPr>
          <w:rFonts w:asciiTheme="majorHAnsi" w:hAnsiTheme="majorHAnsi" w:cstheme="majorHAnsi"/>
        </w:rPr>
        <w:instrText>ADDIN CSL_CITATION {"citationItems":[{"id":"ITEM-1","itemData":{"DOI":"10.5281/zenodo.4756074","ISBN":"0000000272","author":[{"dropping-particle":"","family":"Kusuma","given":"Bambang Ali","non-dropping-particle":"","parse-names":false,"suffix":""},{"dropping-particle":"","family":"Karjoko","given":"Lego","non-dropping-particle":"","parse-names":false,"suffix":""},{"dropping-particle":"","family":"Jaelani","given":"Abdul Kadir","non-dropping-particle":"","parse-names":false,"suffix":""},{"dropping-particle":"","family":"Rahmi Handayani","given":"I Gusti Ayu Ketut","non-dropping-particle":"","parse-names":false,"suffix":""}],"container-title":"International Journal of Criminal Justice Science","id":"ITEM-1","issue":"2","issued":{"date-parts":[["2021"]]},"page":"251-266","title":"Establishment of Indonesian Maritime Power : Regulation of Transnational Organized Crime on Illegal , Unreported , and Unregulated ( IIU ) Fishing","type":"article-journal","volume":"16"},"uris":["http://www.mendeley.com/documents/?uuid=9e63dc30-2d5b-4e51-9ccf-d34ca9aa1a26","http://www.mendeley.com/documents/?uuid=03d66548-5785-4a70-86b8-be72d7e3726b","http://www.mendeley.com/documents/?uuid=0c23b497-0a7b-49c8-8033-3eeaffc1c403"]}],"mendeley":{"formattedCitation":"Bambang Ali Kusuma and others, ‘Establishment of Indonesian Maritime Power : Regulation of Transnational Organized Crime on Illegal , Unreported , and Unregulated ( IIU ) Fishing’, &lt;i&gt;International Journal of Criminal Justice Science&lt;/i&gt;, 16.2 (2021), 251–66 &lt;https://doi.org/10.5281/zenodo.4756074&gt;.","plainTextFormattedCitation":"Bambang Ali Kusuma and others, ‘Establishment of Indonesian Maritime Power : Regulation of Transnational Organized Crime on Illegal , Unreported , and Unregulated ( IIU ) Fishing’, International Journal of Criminal Justice Science, 16.2 (2021), 251–66 .","previouslyFormattedCitation":"Bambang Ali Kusuma and others, ‘Establishment of Indonesian Maritime Power : Regulation of Transnational Organized Crime on Illegal , Unreported , and Unregulated ( IIU ) Fishing’, &lt;i&gt;International Journal of Criminal Justice Science&lt;/i&gt;, 16.2 (2021), 251–66 &lt;https://doi.org/10.5281/zenodo.4756074&gt;."},"properties":{"noteIndex":2},"schema":"https://github.com/citation-style-language/schema/raw/master/csl-citation.json"}</w:instrText>
      </w:r>
      <w:r w:rsidRPr="005F7846">
        <w:rPr>
          <w:rFonts w:asciiTheme="majorHAnsi" w:hAnsiTheme="majorHAnsi" w:cstheme="majorHAnsi"/>
        </w:rPr>
        <w:fldChar w:fldCharType="separate"/>
      </w:r>
      <w:r w:rsidRPr="005F7846">
        <w:rPr>
          <w:rFonts w:asciiTheme="majorHAnsi" w:hAnsiTheme="majorHAnsi" w:cstheme="majorHAnsi"/>
          <w:noProof/>
        </w:rPr>
        <w:t xml:space="preserve">Bambang Ali Kusuma and others, ‘Establishment of Indonesian Maritime Power : Regulation of Transnational Organized Crime on Illegal , Unreported , and Unregulated ( IIU ) Fishing’, </w:t>
      </w:r>
      <w:r w:rsidRPr="005F7846">
        <w:rPr>
          <w:rFonts w:asciiTheme="majorHAnsi" w:hAnsiTheme="majorHAnsi" w:cstheme="majorHAnsi"/>
          <w:i/>
          <w:noProof/>
        </w:rPr>
        <w:t>International Journal of Criminal Justice Science</w:t>
      </w:r>
      <w:r w:rsidRPr="005F7846">
        <w:rPr>
          <w:rFonts w:asciiTheme="majorHAnsi" w:hAnsiTheme="majorHAnsi" w:cstheme="majorHAnsi"/>
          <w:noProof/>
        </w:rPr>
        <w:t>, 16.2 (2021), 251–66 &lt;https://doi.org/10.5281/zenodo.4756074&gt;.</w:t>
      </w:r>
      <w:r w:rsidRPr="005F7846">
        <w:rPr>
          <w:rFonts w:asciiTheme="majorHAnsi" w:hAnsiTheme="majorHAnsi" w:cstheme="majorHAnsi"/>
        </w:rPr>
        <w:fldChar w:fldCharType="end"/>
      </w:r>
    </w:p>
  </w:footnote>
  <w:footnote w:id="3">
    <w:p w:rsidR="005F7846" w:rsidRPr="005F7846" w:rsidRDefault="005F7846" w:rsidP="005F7846">
      <w:pPr>
        <w:pStyle w:val="FootnoteText"/>
        <w:ind w:firstLine="284"/>
        <w:jc w:val="both"/>
        <w:rPr>
          <w:rFonts w:asciiTheme="majorHAnsi" w:hAnsiTheme="majorHAnsi" w:cstheme="majorHAnsi"/>
        </w:rPr>
      </w:pPr>
      <w:r w:rsidRPr="005F7846">
        <w:rPr>
          <w:rStyle w:val="FootnoteReference"/>
          <w:rFonts w:asciiTheme="majorHAnsi" w:hAnsiTheme="majorHAnsi" w:cstheme="majorHAnsi"/>
        </w:rPr>
        <w:footnoteRef/>
      </w:r>
      <w:r w:rsidRPr="005F7846">
        <w:rPr>
          <w:rFonts w:asciiTheme="majorHAnsi" w:hAnsiTheme="majorHAnsi" w:cstheme="majorHAnsi"/>
        </w:rPr>
        <w:t xml:space="preserve"> </w:t>
      </w:r>
      <w:r w:rsidRPr="005F7846">
        <w:rPr>
          <w:rFonts w:asciiTheme="majorHAnsi" w:hAnsiTheme="majorHAnsi" w:cstheme="majorHAnsi"/>
        </w:rPr>
        <w:fldChar w:fldCharType="begin" w:fldLock="1"/>
      </w:r>
      <w:r>
        <w:rPr>
          <w:rFonts w:asciiTheme="majorHAnsi" w:hAnsiTheme="majorHAnsi" w:cstheme="majorHAnsi"/>
        </w:rPr>
        <w:instrText>ADDIN CSL_CITATION {"citationItems":[{"id":"ITEM-1","itemData":{"author":[{"dropping-particle":"","family":"Heriyansyah","given":"","non-dropping-particle":"","parse-names":false,"suffix":""}],"container-title":"eJournal Ilmu Pemerintahan","id":"ITEM-1","issue":"1","issued":{"date-parts":[["2015"]]},"page":"520-534","title":"Implementasi Peraturan Pemerintah Nomor 78 Tahun 2010 Tentang Reklamasi Dan Pascatambang (Studi Kasus Pada PT. Raja Kutai Baru Makmur di Desa Kutai Lama Kecamatan Anggana Kabupaten Kutai Kartanegara)","type":"article-journal","volume":"3"},"uris":["http://www.mendeley.com/documents/?uuid=825ffcbc-0188-46dc-852c-b143c4c03c1f","http://www.mendeley.com/documents/?uuid=5acfd90b-5144-43cc-b30b-f58c63e93ff8"]}],"mendeley":{"formattedCitation":"Heriyansyah, ‘Implementasi Peraturan Pemerintah Nomor 78 Tahun 2010 Tentang Reklamasi Dan Pascatambang (Studi Kasus Pada PT. Raja Kutai Baru Makmur Di Desa Kutai Lama Kecamatan Anggana Kabupaten Kutai Kartanegara)’, &lt;i&gt;EJournal Ilmu Pemerintahan&lt;/i&gt;, 3.1 (2015), 520–34.","plainTextFormattedCitation":"Heriyansyah, ‘Implementasi Peraturan Pemerintah Nomor 78 Tahun 2010 Tentang Reklamasi Dan Pascatambang (Studi Kasus Pada PT. Raja Kutai Baru Makmur Di Desa Kutai Lama Kecamatan Anggana Kabupaten Kutai Kartanegara)’, EJournal Ilmu Pemerintahan, 3.1 (2015), 520–34.","previouslyFormattedCitation":"Heriyansyah, ‘Implementasi Peraturan Pemerintah Nomor 78 Tahun 2010 Tentang Reklamasi Dan Pascatambang (Studi Kasus Pada PT. Raja Kutai Baru Makmur Di Desa Kutai Lama Kecamatan Anggana Kabupaten Kutai Kartanegara)’, &lt;i&gt;EJournal Ilmu Pemerintahan&lt;/i&gt;, 3.1 (2015), 520–34."},"properties":{"noteIndex":3},"schema":"https://github.com/citation-style-language/schema/raw/master/csl-citation.json"}</w:instrText>
      </w:r>
      <w:r w:rsidRPr="005F7846">
        <w:rPr>
          <w:rFonts w:asciiTheme="majorHAnsi" w:hAnsiTheme="majorHAnsi" w:cstheme="majorHAnsi"/>
        </w:rPr>
        <w:fldChar w:fldCharType="separate"/>
      </w:r>
      <w:r w:rsidRPr="005F7846">
        <w:rPr>
          <w:rFonts w:asciiTheme="majorHAnsi" w:hAnsiTheme="majorHAnsi" w:cstheme="majorHAnsi"/>
          <w:noProof/>
        </w:rPr>
        <w:t xml:space="preserve">Heriyansyah, ‘Implementasi Peraturan Pemerintah Nomor 78 Tahun 2010 Tentang Reklamasi Dan Pascatambang (Studi Kasus Pada PT. Raja Kutai Baru Makmur Di Desa Kutai Lama Kecamatan Anggana Kabupaten Kutai Kartanegara)’, </w:t>
      </w:r>
      <w:r w:rsidRPr="005F7846">
        <w:rPr>
          <w:rFonts w:asciiTheme="majorHAnsi" w:hAnsiTheme="majorHAnsi" w:cstheme="majorHAnsi"/>
          <w:i/>
          <w:noProof/>
        </w:rPr>
        <w:t>EJournal Ilmu Pemerintahan</w:t>
      </w:r>
      <w:r w:rsidRPr="005F7846">
        <w:rPr>
          <w:rFonts w:asciiTheme="majorHAnsi" w:hAnsiTheme="majorHAnsi" w:cstheme="majorHAnsi"/>
          <w:noProof/>
        </w:rPr>
        <w:t>, 3.1 (2015), 520–34.</w:t>
      </w:r>
      <w:r w:rsidRPr="005F7846">
        <w:rPr>
          <w:rFonts w:asciiTheme="majorHAnsi" w:hAnsiTheme="majorHAnsi" w:cstheme="majorHAnsi"/>
        </w:rPr>
        <w:fldChar w:fldCharType="end"/>
      </w:r>
    </w:p>
  </w:footnote>
  <w:footnote w:id="4">
    <w:p w:rsidR="005F7846" w:rsidRPr="005F7846" w:rsidRDefault="005F7846" w:rsidP="005F7846">
      <w:pPr>
        <w:pStyle w:val="FootnoteText"/>
        <w:ind w:firstLine="284"/>
        <w:jc w:val="both"/>
        <w:rPr>
          <w:rFonts w:asciiTheme="majorHAnsi" w:hAnsiTheme="majorHAnsi" w:cstheme="majorHAnsi"/>
        </w:rPr>
      </w:pPr>
      <w:r w:rsidRPr="005F7846">
        <w:rPr>
          <w:rStyle w:val="FootnoteReference"/>
          <w:rFonts w:asciiTheme="majorHAnsi" w:hAnsiTheme="majorHAnsi" w:cstheme="majorHAnsi"/>
        </w:rPr>
        <w:footnoteRef/>
      </w:r>
      <w:r w:rsidRPr="005F7846">
        <w:rPr>
          <w:rFonts w:asciiTheme="majorHAnsi" w:hAnsiTheme="majorHAnsi" w:cstheme="majorHAnsi"/>
        </w:rPr>
        <w:t xml:space="preserve"> </w:t>
      </w:r>
      <w:r w:rsidRPr="005F7846">
        <w:rPr>
          <w:rFonts w:asciiTheme="majorHAnsi" w:hAnsiTheme="majorHAnsi" w:cstheme="majorHAnsi"/>
        </w:rPr>
        <w:fldChar w:fldCharType="begin" w:fldLock="1"/>
      </w:r>
      <w:r>
        <w:rPr>
          <w:rFonts w:asciiTheme="majorHAnsi" w:hAnsiTheme="majorHAnsi" w:cstheme="majorHAnsi"/>
        </w:rPr>
        <w:instrText>ADDIN CSL_CITATION {"citationItems":[{"id":"ITEM-1","itemData":{"DOI":"10.1016/j.enpol.2021.112532","ISSN":"03014215","abstract":"An increasingly hostile geopolitical environment may be seen as threatening China's energy security in ways that could trigger conflict. Through an analysis of the impact of the interaction between fossil fuel import dependency and geopolitical conflict upon energy security-driven policy options, we identify the possibility that China's energy policies fit within a general strategy of conflict pre-emption. A “winning without fighting” orientation that generally sidesteps potential conflict while maintaining progress toward the strategic objective of China's continued rise. In addition, we analyze the domestic politicization of local air pollution, which represented a possible threat to the legitimacy of the Chinese Communist Party (CCP). By responding to this politicization in a timely and highly effective manner, the CCP has side-stepped domestic conflict and enhanced its domestic legitimacy. As the largest global consumer and importer of fossil fuels and emitter of greenhouse gases, China's energy policy will be a core part of any low-carbon energy transition. However, our analysis finds that climate change is at best a minor independent determinant of China's energy policy. Ultimately, we argue that China's energy policies are intertwined and optimized with many other policy objectives, requiring an inter-disciplinary and holistic approach to fully understand their determinants.","author":[{"dropping-particle":"","family":"Boyd","given":"Roger","non-dropping-particle":"","parse-names":false,"suffix":""},{"dropping-particle":"","family":"Ufimtseva","given":"Anastasia","non-dropping-particle":"","parse-names":false,"suffix":""}],"container-title":"Energy Policy","id":"ITEM-1","issue":"May","issued":{"date-parts":[["2021"]]},"page":"112532","publisher":"Elsevier Ltd","title":"Facilitating peaceful rise: The increasing role of geopolitics and domestic legitimacy in China's energy policy","type":"article-journal","volume":"158"},"uris":["http://www.mendeley.com/documents/?uuid=c739071d-9ce6-4e55-98e8-6e63ca149578","http://www.mendeley.com/documents/?uuid=36bc5cdc-a51a-49c6-a785-bf5149f5164f","http://www.mendeley.com/documents/?uuid=d5f88115-f770-4e18-993e-76dd38b73525"]}],"mendeley":{"formattedCitation":"Roger Boyd and Anastasia Ufimtseva, ‘Facilitating Peaceful Rise: The Increasing Role of Geopolitics and Domestic Legitimacy in China’s Energy Policy’, &lt;i&gt;Energy Policy&lt;/i&gt;, 158.May (2021), 112532 &lt;https://doi.org/10.1016/j.enpol.2021.112532&gt;.","plainTextFormattedCitation":"Roger Boyd and Anastasia Ufimtseva, ‘Facilitating Peaceful Rise: The Increasing Role of Geopolitics and Domestic Legitimacy in China’s Energy Policy’, Energy Policy, 158.May (2021), 112532 .","previouslyFormattedCitation":"Roger Boyd and Anastasia Ufimtseva, ‘Facilitating Peaceful Rise: The Increasing Role of Geopolitics and Domestic Legitimacy in China’s Energy Policy’, &lt;i&gt;Energy Policy&lt;/i&gt;, 158.May (2021), 112532 &lt;https://doi.org/10.1016/j.enpol.2021.112532&gt;."},"properties":{"noteIndex":4},"schema":"https://github.com/citation-style-language/schema/raw/master/csl-citation.json"}</w:instrText>
      </w:r>
      <w:r w:rsidRPr="005F7846">
        <w:rPr>
          <w:rFonts w:asciiTheme="majorHAnsi" w:hAnsiTheme="majorHAnsi" w:cstheme="majorHAnsi"/>
        </w:rPr>
        <w:fldChar w:fldCharType="separate"/>
      </w:r>
      <w:r w:rsidRPr="005F7846">
        <w:rPr>
          <w:rFonts w:asciiTheme="majorHAnsi" w:hAnsiTheme="majorHAnsi" w:cstheme="majorHAnsi"/>
          <w:noProof/>
        </w:rPr>
        <w:t xml:space="preserve">Roger Boyd and Anastasia Ufimtseva, ‘Facilitating Peaceful Rise: The Increasing Role of Geopolitics and Domestic Legitimacy in China’s Energy Policy’, </w:t>
      </w:r>
      <w:r w:rsidRPr="005F7846">
        <w:rPr>
          <w:rFonts w:asciiTheme="majorHAnsi" w:hAnsiTheme="majorHAnsi" w:cstheme="majorHAnsi"/>
          <w:i/>
          <w:noProof/>
        </w:rPr>
        <w:t>Energy Policy</w:t>
      </w:r>
      <w:r w:rsidRPr="005F7846">
        <w:rPr>
          <w:rFonts w:asciiTheme="majorHAnsi" w:hAnsiTheme="majorHAnsi" w:cstheme="majorHAnsi"/>
          <w:noProof/>
        </w:rPr>
        <w:t>, 158.May (2021), 112532 &lt;https://doi.org/10.1016/j.enpol.2021.112532&gt;.</w:t>
      </w:r>
      <w:r w:rsidRPr="005F7846">
        <w:rPr>
          <w:rFonts w:asciiTheme="majorHAnsi" w:hAnsiTheme="majorHAnsi" w:cstheme="majorHAnsi"/>
        </w:rPr>
        <w:fldChar w:fldCharType="end"/>
      </w:r>
    </w:p>
  </w:footnote>
  <w:footnote w:id="5">
    <w:p w:rsidR="005F7846" w:rsidRPr="005F7846" w:rsidRDefault="005F7846" w:rsidP="005F7846">
      <w:pPr>
        <w:pStyle w:val="FootnoteText"/>
        <w:ind w:firstLine="284"/>
        <w:jc w:val="both"/>
        <w:rPr>
          <w:rFonts w:asciiTheme="majorHAnsi" w:hAnsiTheme="majorHAnsi" w:cstheme="majorHAnsi"/>
        </w:rPr>
      </w:pPr>
      <w:r w:rsidRPr="005F7846">
        <w:rPr>
          <w:rStyle w:val="FootnoteReference"/>
          <w:rFonts w:asciiTheme="majorHAnsi" w:hAnsiTheme="majorHAnsi" w:cstheme="majorHAnsi"/>
        </w:rPr>
        <w:footnoteRef/>
      </w:r>
      <w:r w:rsidRPr="005F7846">
        <w:rPr>
          <w:rFonts w:asciiTheme="majorHAnsi" w:hAnsiTheme="majorHAnsi" w:cstheme="majorHAnsi"/>
        </w:rPr>
        <w:t xml:space="preserve"> </w:t>
      </w:r>
      <w:r w:rsidRPr="005F7846">
        <w:rPr>
          <w:rFonts w:asciiTheme="majorHAnsi" w:hAnsiTheme="majorHAnsi" w:cstheme="majorHAnsi"/>
        </w:rPr>
        <w:fldChar w:fldCharType="begin" w:fldLock="1"/>
      </w:r>
      <w:r>
        <w:rPr>
          <w:rFonts w:asciiTheme="majorHAnsi" w:hAnsiTheme="majorHAnsi" w:cstheme="majorHAnsi"/>
        </w:rPr>
        <w:instrText>ADDIN CSL_CITATION {"citationItems":[{"id":"ITEM-1","itemData":{"DOI":"10.20884/1.jdh.2011.11.2.189","ISSN":"1410-0797","abstract":" This research is intended to explain the monitoring as an instrument of law enforcement, to examine how the intensity of supervision on the business of mineral and coal, which is expected to support the establishment of law enforcement. The method in this study are socio juridical, with qualitative and quantitative methods. Research shows that in terms of planning and coordination of implementation supervision has not been implemented optimally, so that does not yet support the establishment of law enforcement. Based on this, it is necessary to the formation of an integrated environmental licensing system specialized in the management of the mining business.Keywords: monitoring, law enforcement, mining","author":[{"dropping-particle":"","family":"Puluhulawa","given":"Fenty U.","non-dropping-particle":"","parse-names":false,"suffix":""}],"container-title":"Jurnal Dinamika Hukum","id":"ITEM-1","issue":"2","issued":{"date-parts":[["2011"]]},"title":"Pengawasan Sebagai Instrumen Penegakan Hukum Pada Pengelolaan Usaha Pertambangan Mineral Dan Batubara","type":"article-journal","volume":"11"},"uris":["http://www.mendeley.com/documents/?uuid=e8086496-dae8-4d50-b01d-8a87669b193a","http://www.mendeley.com/documents/?uuid=42da2850-3985-4543-93d5-dd20766ab575","http://www.mendeley.com/documents/?uuid=9bad985f-6994-4cf4-86bf-4ac77507bbe1","http://www.mendeley.com/documents/?uuid=e4659df3-0007-4a52-b3b8-11faa39f3362"]}],"mendeley":{"formattedCitation":"Fenty U. Puluhulawa, ‘Pengawasan Sebagai Instrumen Penegakan Hukum Pada Pengelolaan Usaha Pertambangan Mineral Dan Batubara’, &lt;i&gt;Jurnal Dinamika Hukum&lt;/i&gt;, 11.2 (2011) &lt;https://doi.org/10.20884/1.jdh.2011.11.2.189&gt;.","plainTextFormattedCitation":"Fenty U. Puluhulawa, ‘Pengawasan Sebagai Instrumen Penegakan Hukum Pada Pengelolaan Usaha Pertambangan Mineral Dan Batubara’, Jurnal Dinamika Hukum, 11.2 (2011) .","previouslyFormattedCitation":"Fenty U. Puluhulawa, ‘Pengawasan Sebagai Instrumen Penegakan Hukum Pada Pengelolaan Usaha Pertambangan Mineral Dan Batubara’, &lt;i&gt;Jurnal Dinamika Hukum&lt;/i&gt;, 11.2 (2011) &lt;https://doi.org/10.20884/1.jdh.2011.11.2.189&gt;."},"properties":{"noteIndex":5},"schema":"https://github.com/citation-style-language/schema/raw/master/csl-citation.json"}</w:instrText>
      </w:r>
      <w:r w:rsidRPr="005F7846">
        <w:rPr>
          <w:rFonts w:asciiTheme="majorHAnsi" w:hAnsiTheme="majorHAnsi" w:cstheme="majorHAnsi"/>
        </w:rPr>
        <w:fldChar w:fldCharType="separate"/>
      </w:r>
      <w:r w:rsidRPr="005F7846">
        <w:rPr>
          <w:rFonts w:asciiTheme="majorHAnsi" w:hAnsiTheme="majorHAnsi" w:cstheme="majorHAnsi"/>
          <w:noProof/>
        </w:rPr>
        <w:t xml:space="preserve">Fenty U. Puluhulawa, ‘Pengawasan Sebagai Instrumen Penegakan Hukum Pada Pengelolaan Usaha Pertambangan Mineral Dan Batubara’, </w:t>
      </w:r>
      <w:r w:rsidRPr="005F7846">
        <w:rPr>
          <w:rFonts w:asciiTheme="majorHAnsi" w:hAnsiTheme="majorHAnsi" w:cstheme="majorHAnsi"/>
          <w:i/>
          <w:noProof/>
        </w:rPr>
        <w:t>Jurnal Dinamika Hukum</w:t>
      </w:r>
      <w:r w:rsidRPr="005F7846">
        <w:rPr>
          <w:rFonts w:asciiTheme="majorHAnsi" w:hAnsiTheme="majorHAnsi" w:cstheme="majorHAnsi"/>
          <w:noProof/>
        </w:rPr>
        <w:t>, 11.2 (2011) &lt;https://doi.org/10.20884/1.jdh.2011.11.2.189&gt;.</w:t>
      </w:r>
      <w:r w:rsidRPr="005F7846">
        <w:rPr>
          <w:rFonts w:asciiTheme="majorHAnsi" w:hAnsiTheme="majorHAnsi" w:cstheme="majorHAnsi"/>
        </w:rPr>
        <w:fldChar w:fldCharType="end"/>
      </w:r>
    </w:p>
  </w:footnote>
  <w:footnote w:id="6">
    <w:p w:rsidR="005F7846" w:rsidRPr="005F7846" w:rsidRDefault="005F7846" w:rsidP="005F7846">
      <w:pPr>
        <w:pStyle w:val="FootnoteText"/>
        <w:ind w:firstLine="284"/>
        <w:jc w:val="both"/>
        <w:rPr>
          <w:rFonts w:asciiTheme="majorHAnsi" w:hAnsiTheme="majorHAnsi" w:cstheme="majorHAnsi"/>
        </w:rPr>
      </w:pPr>
      <w:r w:rsidRPr="005F7846">
        <w:rPr>
          <w:rStyle w:val="FootnoteReference"/>
          <w:rFonts w:asciiTheme="majorHAnsi" w:hAnsiTheme="majorHAnsi" w:cstheme="majorHAnsi"/>
        </w:rPr>
        <w:footnoteRef/>
      </w:r>
      <w:r w:rsidRPr="005F7846">
        <w:rPr>
          <w:rFonts w:asciiTheme="majorHAnsi" w:hAnsiTheme="majorHAnsi" w:cstheme="majorHAnsi"/>
        </w:rPr>
        <w:t xml:space="preserve"> </w:t>
      </w:r>
      <w:r w:rsidRPr="005F7846">
        <w:rPr>
          <w:rFonts w:asciiTheme="majorHAnsi" w:hAnsiTheme="majorHAnsi" w:cstheme="majorHAnsi"/>
        </w:rPr>
        <w:fldChar w:fldCharType="begin" w:fldLock="1"/>
      </w:r>
      <w:r>
        <w:rPr>
          <w:rFonts w:asciiTheme="majorHAnsi" w:hAnsiTheme="majorHAnsi" w:cstheme="majorHAnsi"/>
        </w:rPr>
        <w:instrText>ADDIN CSL_CITATION {"citationItems":[{"id":"ITEM-1","itemData":{"DOI":"10.32479/ijeep.8146","ISSN":"21464553","abstract":"They are being polemic for Indonesia between implementing production and sustainability simultaneously, considering that Indonesia is a newly emerging country, which of course wants to be independent and also sovereign from the regional side as a unitary state and even financially independent to meet all the needs of the Indonesian people. The main challenge faced by Indonesia is pursuing maximum economic growth through the use of natural resources. The effectiveness of environmental law enforcement on the activities of the mining, gas, and mineral industry can run smoothly and smoothly concerning several fundamental aspects. On the other hand, mining activity is an effort to create jobs, improve the economy, which aims at equitable distribution of income through the absorption of labor in the sector of the mining industry. Environmental issues that are becoming a global issue require the government to take firm action against violators/perpetrators of environmental pollution to cause deterrent effects for others. The government can take legal steps through administrative, criminal, and civil considerations as a manifestation of creating environmentally friendly and sustainable production activities in the future.","author":[{"dropping-particle":"","family":"Hidjaz","given":"Kamal","non-dropping-particle":"","parse-names":false,"suffix":""}],"container-title":"International Journal of Energy Economics and Policy","id":"ITEM-1","issue":"6","issued":{"date-parts":[["2019"]]},"page":"79-85","title":"Effectiveness of environmental policy enforcement and the impact by industrial mining, energy, mineral, and gas activities in Indonesia","type":"article-journal","volume":"9"},"uris":["http://www.mendeley.com/documents/?uuid=84865c84-3de7-49c2-8ce4-85dd72c5fe26","http://www.mendeley.com/documents/?uuid=26a89b4b-3830-4bc0-85ad-f29f8b849805"]}],"mendeley":{"formattedCitation":"Kamal Hidjaz, ‘Effectiveness of Environmental Policy Enforcement and the Impact by Industrial Mining, Energy, Mineral, and Gas Activities in Indonesia’, &lt;i&gt;International Journal of Energy Economics and Policy&lt;/i&gt;, 9.6 (2019), 79–85 &lt;https://doi.org/10.32479/ijeep.8146&gt;.","plainTextFormattedCitation":"Kamal Hidjaz, ‘Effectiveness of Environmental Policy Enforcement and the Impact by Industrial Mining, Energy, Mineral, and Gas Activities in Indonesia’, International Journal of Energy Economics and Policy, 9.6 (2019), 79–85 .","previouslyFormattedCitation":"Kamal Hidjaz, ‘Effectiveness of Environmental Policy Enforcement and the Impact by Industrial Mining, Energy, Mineral, and Gas Activities in Indonesia’, &lt;i&gt;International Journal of Energy Economics and Policy&lt;/i&gt;, 9.6 (2019), 79–85 &lt;https://doi.org/10.32479/ijeep.8146&gt;."},"properties":{"noteIndex":6},"schema":"https://github.com/citation-style-language/schema/raw/master/csl-citation.json"}</w:instrText>
      </w:r>
      <w:r w:rsidRPr="005F7846">
        <w:rPr>
          <w:rFonts w:asciiTheme="majorHAnsi" w:hAnsiTheme="majorHAnsi" w:cstheme="majorHAnsi"/>
        </w:rPr>
        <w:fldChar w:fldCharType="separate"/>
      </w:r>
      <w:r w:rsidRPr="005F7846">
        <w:rPr>
          <w:rFonts w:asciiTheme="majorHAnsi" w:hAnsiTheme="majorHAnsi" w:cstheme="majorHAnsi"/>
          <w:noProof/>
        </w:rPr>
        <w:t xml:space="preserve">Kamal Hidjaz, ‘Effectiveness of Environmental Policy Enforcement and the Impact by Industrial Mining, Energy, Mineral, and Gas Activities in Indonesia’, </w:t>
      </w:r>
      <w:r w:rsidRPr="005F7846">
        <w:rPr>
          <w:rFonts w:asciiTheme="majorHAnsi" w:hAnsiTheme="majorHAnsi" w:cstheme="majorHAnsi"/>
          <w:i/>
          <w:noProof/>
        </w:rPr>
        <w:t>International Journal of Energy Economics and Policy</w:t>
      </w:r>
      <w:r w:rsidRPr="005F7846">
        <w:rPr>
          <w:rFonts w:asciiTheme="majorHAnsi" w:hAnsiTheme="majorHAnsi" w:cstheme="majorHAnsi"/>
          <w:noProof/>
        </w:rPr>
        <w:t>, 9.6 (2019), 79–85 &lt;https://doi.org/10.32479/ijeep.8146&gt;.</w:t>
      </w:r>
      <w:r w:rsidRPr="005F7846">
        <w:rPr>
          <w:rFonts w:asciiTheme="majorHAnsi" w:hAnsiTheme="majorHAnsi" w:cstheme="majorHAnsi"/>
        </w:rPr>
        <w:fldChar w:fldCharType="end"/>
      </w:r>
    </w:p>
  </w:footnote>
  <w:footnote w:id="7">
    <w:p w:rsidR="005F7846" w:rsidRPr="005F7846" w:rsidRDefault="005F7846" w:rsidP="005F7846">
      <w:pPr>
        <w:pStyle w:val="FootnoteText"/>
        <w:ind w:firstLine="284"/>
        <w:jc w:val="both"/>
        <w:rPr>
          <w:rFonts w:asciiTheme="majorHAnsi" w:hAnsiTheme="majorHAnsi" w:cstheme="majorHAnsi"/>
        </w:rPr>
      </w:pPr>
      <w:r w:rsidRPr="005F7846">
        <w:rPr>
          <w:rStyle w:val="FootnoteReference"/>
          <w:rFonts w:asciiTheme="majorHAnsi" w:hAnsiTheme="majorHAnsi" w:cstheme="majorHAnsi"/>
        </w:rPr>
        <w:footnoteRef/>
      </w:r>
      <w:r w:rsidRPr="005F7846">
        <w:rPr>
          <w:rFonts w:asciiTheme="majorHAnsi" w:hAnsiTheme="majorHAnsi" w:cstheme="majorHAnsi"/>
        </w:rPr>
        <w:t xml:space="preserve"> </w:t>
      </w:r>
      <w:r w:rsidRPr="005F7846">
        <w:rPr>
          <w:rFonts w:asciiTheme="majorHAnsi" w:hAnsiTheme="majorHAnsi" w:cstheme="majorHAnsi"/>
        </w:rPr>
        <w:fldChar w:fldCharType="begin" w:fldLock="1"/>
      </w:r>
      <w:r>
        <w:rPr>
          <w:rFonts w:asciiTheme="majorHAnsi" w:hAnsiTheme="majorHAnsi" w:cstheme="majorHAnsi"/>
        </w:rPr>
        <w:instrText>ADDIN CSL_CITATION {"citationItems":[{"id":"ITEM-1","itemData":{"DOI":"10.1016/j.jrmge.2015.01.007","ISSN":"16747755","abstract":"Subsidence analysis and prediction with measured data have been conducted and applied to local strata and mining conditions worldwide. Underground coal mines chose the most suitable analysis and prediction method for them. However, there was no study based on the measured data of subsidence induced by underground mining operation in Indonesia. This paper describes the condition of underground coal mine in Indonesia and then discusses the subsidence behavior due to longwall mining operation based on measured data in Balikpapan coal-bearing formation in Indonesia.","author":[{"dropping-particle":"","family":"Sasaoka","given":"Takashi","non-dropping-particle":"","parse-names":false,"suffix":""},{"dropping-particle":"","family":"Takamoto","given":"Hiroshi","non-dropping-particle":"","parse-names":false,"suffix":""},{"dropping-particle":"","family":"Shimada","given":"Hideki","non-dropping-particle":"","parse-names":false,"suffix":""},{"dropping-particle":"","family":"Oya","given":"Jiro","non-dropping-particle":"","parse-names":false,"suffix":""},{"dropping-particle":"","family":"Hamanaka","given":"Akihiro","non-dropping-particle":"","parse-names":false,"suffix":""},{"dropping-particle":"","family":"Matsui","given":"Kikuo","non-dropping-particle":"","parse-names":false,"suffix":""}],"container-title":"Journal of Rock Mechanics and Geotechnical Engineering","id":"ITEM-1","issue":"3","issued":{"date-parts":[["2015"]]},"page":"337-344","publisher":"Elsevier Ltd","title":"Surface subsidence due to underground mining operation under weak geological condition in Indonesia","type":"article-journal","volume":"7"},"uris":["http://www.mendeley.com/documents/?uuid=76af59d9-bc5e-43ac-9d54-8709a8d1af85","http://www.mendeley.com/documents/?uuid=abb1c47d-effa-478f-a7b9-e5c4061c54e7","http://www.mendeley.com/documents/?uuid=81b50508-f97f-4eb8-b72d-0a3e78187020","http://www.mendeley.com/documents/?uuid=91d42a7a-ac71-4554-b1ec-074f112f96db"]}],"mendeley":{"formattedCitation":"Takashi Sasaoka and others, ‘Surface Subsidence Due to Underground Mining Operation under Weak Geological Condition in Indonesia’, &lt;i&gt;Journal of Rock Mechanics and Geotechnical Engineering&lt;/i&gt;, 7.3 (2015), 337–44 &lt;https://doi.org/10.1016/j.jrmge.2015.01.007&gt;.","plainTextFormattedCitation":"Takashi Sasaoka and others, ‘Surface Subsidence Due to Underground Mining Operation under Weak Geological Condition in Indonesia’, Journal of Rock Mechanics and Geotechnical Engineering, 7.3 (2015), 337–44 .","previouslyFormattedCitation":"Takashi Sasaoka and others, ‘Surface Subsidence Due to Underground Mining Operation under Weak Geological Condition in Indonesia’, &lt;i&gt;Journal of Rock Mechanics and Geotechnical Engineering&lt;/i&gt;, 7.3 (2015), 337–44 &lt;https://doi.org/10.1016/j.jrmge.2015.01.007&gt;."},"properties":{"noteIndex":7},"schema":"https://github.com/citation-style-language/schema/raw/master/csl-citation.json"}</w:instrText>
      </w:r>
      <w:r w:rsidRPr="005F7846">
        <w:rPr>
          <w:rFonts w:asciiTheme="majorHAnsi" w:hAnsiTheme="majorHAnsi" w:cstheme="majorHAnsi"/>
        </w:rPr>
        <w:fldChar w:fldCharType="separate"/>
      </w:r>
      <w:r w:rsidRPr="005F7846">
        <w:rPr>
          <w:rFonts w:asciiTheme="majorHAnsi" w:hAnsiTheme="majorHAnsi" w:cstheme="majorHAnsi"/>
          <w:noProof/>
        </w:rPr>
        <w:t xml:space="preserve">Takashi Sasaoka and others, ‘Surface Subsidence Due to Underground Mining Operation under Weak Geological Condition in Indonesia’, </w:t>
      </w:r>
      <w:r w:rsidRPr="005F7846">
        <w:rPr>
          <w:rFonts w:asciiTheme="majorHAnsi" w:hAnsiTheme="majorHAnsi" w:cstheme="majorHAnsi"/>
          <w:i/>
          <w:noProof/>
        </w:rPr>
        <w:t>Journal of Rock Mechanics and Geotechnical Engineering</w:t>
      </w:r>
      <w:r w:rsidRPr="005F7846">
        <w:rPr>
          <w:rFonts w:asciiTheme="majorHAnsi" w:hAnsiTheme="majorHAnsi" w:cstheme="majorHAnsi"/>
          <w:noProof/>
        </w:rPr>
        <w:t>, 7.3 (2015), 337–44 &lt;https://doi.org/10.1016/j.jrmge.2015.01.007&gt;.</w:t>
      </w:r>
      <w:r w:rsidRPr="005F7846">
        <w:rPr>
          <w:rFonts w:asciiTheme="majorHAnsi" w:hAnsiTheme="majorHAnsi" w:cstheme="majorHAnsi"/>
        </w:rPr>
        <w:fldChar w:fldCharType="end"/>
      </w:r>
    </w:p>
  </w:footnote>
  <w:footnote w:id="8">
    <w:p w:rsidR="005F7846" w:rsidRPr="005F7846" w:rsidRDefault="005F7846" w:rsidP="005F7846">
      <w:pPr>
        <w:pStyle w:val="FootnoteText"/>
        <w:ind w:firstLine="284"/>
        <w:jc w:val="both"/>
        <w:rPr>
          <w:rFonts w:asciiTheme="majorHAnsi" w:hAnsiTheme="majorHAnsi" w:cstheme="majorHAnsi"/>
        </w:rPr>
      </w:pPr>
      <w:r w:rsidRPr="005F7846">
        <w:rPr>
          <w:rStyle w:val="FootnoteReference"/>
          <w:rFonts w:asciiTheme="majorHAnsi" w:hAnsiTheme="majorHAnsi" w:cstheme="majorHAnsi"/>
        </w:rPr>
        <w:footnoteRef/>
      </w:r>
      <w:r w:rsidRPr="005F7846">
        <w:rPr>
          <w:rFonts w:asciiTheme="majorHAnsi" w:hAnsiTheme="majorHAnsi" w:cstheme="majorHAnsi"/>
        </w:rPr>
        <w:t xml:space="preserve"> </w:t>
      </w:r>
      <w:r w:rsidRPr="005F7846">
        <w:rPr>
          <w:rFonts w:asciiTheme="majorHAnsi" w:hAnsiTheme="majorHAnsi" w:cstheme="majorHAnsi"/>
        </w:rPr>
        <w:fldChar w:fldCharType="begin" w:fldLock="1"/>
      </w:r>
      <w:r>
        <w:rPr>
          <w:rFonts w:asciiTheme="majorHAnsi" w:hAnsiTheme="majorHAnsi" w:cstheme="majorHAnsi"/>
        </w:rPr>
        <w:instrText>ADDIN CSL_CITATION {"citationItems":[{"id":"ITEM-1","itemData":{"DOI":"10.1016/j.enpol.2021.112573","ISSN":"03014215","abstract":"As one of the important measures for China's power system reform, the electricity bidding pricing (EBP) is helpful to realize the effective allocation of power resources. Based on price conduction theory and complex network modeling technology, we construct the price transmission network for the 76 economic sectors in China, identify the critical path of electricity price transmission, and empirically simulate and analyze the economic impact of EBP in different scenarios from the two aspects of whether the CEPL mechanism is implemented or not. The results indicate that the electricity price will be decreased directly by the EBP, and the electricity industry will significantly reduce the impact on other related industries. Particularly, affected by regulatory policies such as electricity price cap, the electricity price caused by EBP cannot be effectively transmitted to the upstream industries. Secondly, with the simultaneous implementation of the coal-electricity price linkage (CEPL) and the EBP, the coal-electricity price transmission will change from one-way conduction style to two-way interaction style, and the impact of electricity price fluctuations on its related industries will be more significant, while the comprehensive impact of the coal industry on its associated industries will be significantly reduced. Thirdly, there are obvious scenario differences in the impact of different intensity of EBP on the macro-economy. The results show that under the mechanism of CEPL, the EBP with 20% of the total power used for bidding pilot has minimal impact on the Chinese economy. Based on the above conclusions, we propose that China should scientifically determine the scale and the pilot regions of electricity bidding under the CEPL, develop more diversified bidding forms and improve more robust supervision system.","author":[{"dropping-particle":"","family":"Wang","given":"Di","non-dropping-particle":"","parse-names":false,"suffix":""},{"dropping-particle":"","family":"Zhang","given":"Zhiyuan","non-dropping-particle":"","parse-names":false,"suffix":""},{"dropping-particle":"","family":"Yang","given":"Xiaodi","non-dropping-particle":"","parse-names":false,"suffix":""},{"dropping-particle":"","family":"Zhang","given":"Yanfang","non-dropping-particle":"","parse-names":false,"suffix":""},{"dropping-particle":"","family":"Li","given":"Yuman","non-dropping-particle":"","parse-names":false,"suffix":""},{"dropping-particle":"","family":"Zhao","given":"Yueying","non-dropping-particle":"","parse-names":false,"suffix":""}],"container-title":"Energy Policy","id":"ITEM-1","issue":"April","issued":{"date-parts":[["2021"]]},"page":"112573","publisher":"Elsevier Ltd","title":"Multi-scenario simulation on the impact of China's electricity bidding policy based on complex networks model","type":"article-journal","volume":"158"},"uris":["http://www.mendeley.com/documents/?uuid=08e23892-9c46-49c3-9aa1-fcf210e14e1f","http://www.mendeley.com/documents/?uuid=786c9202-d64d-40fd-be73-d72c8487de5a","http://www.mendeley.com/documents/?uuid=2ca9d890-3129-4c1c-bf5b-89a916b22e3b"]}],"mendeley":{"formattedCitation":"Di Wang and others, ‘Multi-Scenario Simulation on the Impact of China’s Electricity Bidding Policy Based on Complex Networks Model’, &lt;i&gt;Energy Policy&lt;/i&gt;, 158.April (2021), 112573 &lt;https://doi.org/10.1016/j.enpol.2021.112573&gt;.","plainTextFormattedCitation":"Di Wang and others, ‘Multi-Scenario Simulation on the Impact of China’s Electricity Bidding Policy Based on Complex Networks Model’, Energy Policy, 158.April (2021), 112573 .","previouslyFormattedCitation":"Di Wang and others, ‘Multi-Scenario Simulation on the Impact of China’s Electricity Bidding Policy Based on Complex Networks Model’, &lt;i&gt;Energy Policy&lt;/i&gt;, 158.April (2021), 112573 &lt;https://doi.org/10.1016/j.enpol.2021.112573&gt;."},"properties":{"noteIndex":8},"schema":"https://github.com/citation-style-language/schema/raw/master/csl-citation.json"}</w:instrText>
      </w:r>
      <w:r w:rsidRPr="005F7846">
        <w:rPr>
          <w:rFonts w:asciiTheme="majorHAnsi" w:hAnsiTheme="majorHAnsi" w:cstheme="majorHAnsi"/>
        </w:rPr>
        <w:fldChar w:fldCharType="separate"/>
      </w:r>
      <w:r w:rsidRPr="005F7846">
        <w:rPr>
          <w:rFonts w:asciiTheme="majorHAnsi" w:hAnsiTheme="majorHAnsi" w:cstheme="majorHAnsi"/>
          <w:noProof/>
        </w:rPr>
        <w:t xml:space="preserve">Di Wang and others, ‘Multi-Scenario Simulation on the Impact of China’s Electricity Bidding Policy Based on Complex Networks Model’, </w:t>
      </w:r>
      <w:r w:rsidRPr="005F7846">
        <w:rPr>
          <w:rFonts w:asciiTheme="majorHAnsi" w:hAnsiTheme="majorHAnsi" w:cstheme="majorHAnsi"/>
          <w:i/>
          <w:noProof/>
        </w:rPr>
        <w:t>Energy Policy</w:t>
      </w:r>
      <w:r w:rsidRPr="005F7846">
        <w:rPr>
          <w:rFonts w:asciiTheme="majorHAnsi" w:hAnsiTheme="majorHAnsi" w:cstheme="majorHAnsi"/>
          <w:noProof/>
        </w:rPr>
        <w:t>, 158.April (2021), 112573 &lt;https://doi.org/10.1016/j.enpol.2021.112573&gt;.</w:t>
      </w:r>
      <w:r w:rsidRPr="005F7846">
        <w:rPr>
          <w:rFonts w:asciiTheme="majorHAnsi" w:hAnsiTheme="majorHAnsi" w:cstheme="majorHAnsi"/>
        </w:rPr>
        <w:fldChar w:fldCharType="end"/>
      </w:r>
    </w:p>
  </w:footnote>
  <w:footnote w:id="9">
    <w:p w:rsidR="005F7846" w:rsidRPr="005F7846" w:rsidRDefault="005F7846" w:rsidP="005F7846">
      <w:pPr>
        <w:pStyle w:val="FootnoteText"/>
        <w:ind w:firstLine="284"/>
        <w:jc w:val="both"/>
        <w:rPr>
          <w:rFonts w:asciiTheme="majorHAnsi" w:hAnsiTheme="majorHAnsi" w:cstheme="majorHAnsi"/>
        </w:rPr>
      </w:pPr>
      <w:r w:rsidRPr="005F7846">
        <w:rPr>
          <w:rStyle w:val="FootnoteReference"/>
          <w:rFonts w:asciiTheme="majorHAnsi" w:hAnsiTheme="majorHAnsi" w:cstheme="majorHAnsi"/>
        </w:rPr>
        <w:footnoteRef/>
      </w:r>
      <w:r w:rsidRPr="005F7846">
        <w:rPr>
          <w:rFonts w:asciiTheme="majorHAnsi" w:hAnsiTheme="majorHAnsi" w:cstheme="majorHAnsi"/>
        </w:rPr>
        <w:t xml:space="preserve"> </w:t>
      </w:r>
      <w:r w:rsidRPr="005F7846">
        <w:rPr>
          <w:rFonts w:asciiTheme="majorHAnsi" w:hAnsiTheme="majorHAnsi" w:cstheme="majorHAnsi"/>
        </w:rPr>
        <w:fldChar w:fldCharType="begin" w:fldLock="1"/>
      </w:r>
      <w:r>
        <w:rPr>
          <w:rFonts w:asciiTheme="majorHAnsi" w:hAnsiTheme="majorHAnsi" w:cstheme="majorHAnsi"/>
        </w:rPr>
        <w:instrText>ADDIN CSL_CITATION {"citationItems":[{"id":"ITEM-1","itemData":{"author":[{"dropping-particle":"","family":"Governance","given":"Towards Good","non-dropping-particle":"","parse-names":false,"suffix":""}],"container-title":"Bestuur","id":"ITEM-1","issue":"1","issued":{"date-parts":[["2022"]]},"page":"33-42","title":"Reduce Corruption in Public Procurement: The Effort Towards Good Governance","type":"article-journal","volume":"10"},"uris":["http://www.mendeley.com/documents/?uuid=889499a5-0be5-4cd8-9cdd-ad08cbbe4114","http://www.mendeley.com/documents/?uuid=5735c22f-0350-4758-97e9-ec3993e17a20","http://www.mendeley.com/documents/?uuid=9771d5c6-dc6b-45bb-b8f8-15d5b29da5cf"]}],"mendeley":{"formattedCitation":"Towards Good Governance, ‘Reduce Corruption in Public Procurement: The Effort Towards Good Governance’, &lt;i&gt;Bestuur&lt;/i&gt;, 10.1 (2022), 33–42.","plainTextFormattedCitation":"Towards Good Governance, ‘Reduce Corruption in Public Procurement: The Effort Towards Good Governance’, Bestuur, 10.1 (2022), 33–42.","previouslyFormattedCitation":"Towards Good Governance, ‘Reduce Corruption in Public Procurement: The Effort Towards Good Governance’, &lt;i&gt;Bestuur&lt;/i&gt;, 10.1 (2022), 33–42."},"properties":{"noteIndex":9},"schema":"https://github.com/citation-style-language/schema/raw/master/csl-citation.json"}</w:instrText>
      </w:r>
      <w:r w:rsidRPr="005F7846">
        <w:rPr>
          <w:rFonts w:asciiTheme="majorHAnsi" w:hAnsiTheme="majorHAnsi" w:cstheme="majorHAnsi"/>
        </w:rPr>
        <w:fldChar w:fldCharType="separate"/>
      </w:r>
      <w:r w:rsidRPr="005F7846">
        <w:rPr>
          <w:rFonts w:asciiTheme="majorHAnsi" w:hAnsiTheme="majorHAnsi" w:cstheme="majorHAnsi"/>
          <w:noProof/>
        </w:rPr>
        <w:t xml:space="preserve">Towards Good Governance, ‘Reduce Corruption in Public Procurement: The Effort Towards Good Governance’, </w:t>
      </w:r>
      <w:r w:rsidRPr="005F7846">
        <w:rPr>
          <w:rFonts w:asciiTheme="majorHAnsi" w:hAnsiTheme="majorHAnsi" w:cstheme="majorHAnsi"/>
          <w:i/>
          <w:noProof/>
        </w:rPr>
        <w:t>Bestuur</w:t>
      </w:r>
      <w:r w:rsidRPr="005F7846">
        <w:rPr>
          <w:rFonts w:asciiTheme="majorHAnsi" w:hAnsiTheme="majorHAnsi" w:cstheme="majorHAnsi"/>
          <w:noProof/>
        </w:rPr>
        <w:t>, 10.1 (2022), 33–42.</w:t>
      </w:r>
      <w:r w:rsidRPr="005F7846">
        <w:rPr>
          <w:rFonts w:asciiTheme="majorHAnsi" w:hAnsiTheme="majorHAnsi" w:cstheme="majorHAnsi"/>
        </w:rPr>
        <w:fldChar w:fldCharType="end"/>
      </w:r>
    </w:p>
  </w:footnote>
  <w:footnote w:id="10">
    <w:p w:rsidR="005F7846" w:rsidRPr="005F7846" w:rsidRDefault="005F7846" w:rsidP="005F7846">
      <w:pPr>
        <w:pStyle w:val="FootnoteText"/>
        <w:ind w:firstLine="284"/>
        <w:jc w:val="both"/>
        <w:rPr>
          <w:rFonts w:asciiTheme="majorHAnsi" w:hAnsiTheme="majorHAnsi" w:cstheme="majorHAnsi"/>
        </w:rPr>
      </w:pPr>
      <w:r w:rsidRPr="005F7846">
        <w:rPr>
          <w:rStyle w:val="FootnoteReference"/>
          <w:rFonts w:asciiTheme="majorHAnsi" w:hAnsiTheme="majorHAnsi" w:cstheme="majorHAnsi"/>
        </w:rPr>
        <w:footnoteRef/>
      </w:r>
      <w:r w:rsidRPr="005F7846">
        <w:rPr>
          <w:rFonts w:asciiTheme="majorHAnsi" w:hAnsiTheme="majorHAnsi" w:cstheme="majorHAnsi"/>
        </w:rPr>
        <w:t xml:space="preserve"> </w:t>
      </w:r>
      <w:r w:rsidRPr="005F7846">
        <w:rPr>
          <w:rFonts w:asciiTheme="majorHAnsi" w:hAnsiTheme="majorHAnsi" w:cstheme="majorHAnsi"/>
        </w:rPr>
        <w:fldChar w:fldCharType="begin" w:fldLock="1"/>
      </w:r>
      <w:r>
        <w:rPr>
          <w:rFonts w:asciiTheme="majorHAnsi" w:hAnsiTheme="majorHAnsi" w:cstheme="majorHAnsi"/>
        </w:rPr>
        <w:instrText>ADDIN CSL_CITATION {"citationItems":[{"id":"ITEM-1","itemData":{"author":[{"dropping-particle":"","family":"Toumbourou","given":"Tessa","non-dropping-particle":"","parse-names":false,"suffix":""}],"container-title":"Inside Indonesia","id":"ITEM-1","issued":{"date-parts":[["2016"]]},"title":"Samarinda's Deadly Mining Pits","type":"webpage"},"uris":["http://www.mendeley.com/documents/?uuid=e68f5077-f010-496a-9541-f887715b5321","http://www.mendeley.com/documents/?uuid=185e988e-82e4-4cc8-8212-4a052e66d48d","http://www.mendeley.com/documents/?uuid=8241bcf4-8c5a-4fef-8bbf-b38685f337e3","http://www.mendeley.com/documents/?uuid=7e67216a-dbb2-4352-bfe2-7a474af496e0"]}],"mendeley":{"formattedCitation":"Tessa Toumbourou, ‘Samarinda’s Deadly Mining Pits’, &lt;i&gt;Inside Indonesia&lt;/i&gt;, 2016.","plainTextFormattedCitation":"Tessa Toumbourou, ‘Samarinda’s Deadly Mining Pits’, Inside Indonesia, 2016.","previouslyFormattedCitation":"Tessa Toumbourou, ‘Samarinda’s Deadly Mining Pits’, &lt;i&gt;Inside Indonesia&lt;/i&gt;, 2016."},"properties":{"noteIndex":10},"schema":"https://github.com/citation-style-language/schema/raw/master/csl-citation.json"}</w:instrText>
      </w:r>
      <w:r w:rsidRPr="005F7846">
        <w:rPr>
          <w:rFonts w:asciiTheme="majorHAnsi" w:hAnsiTheme="majorHAnsi" w:cstheme="majorHAnsi"/>
        </w:rPr>
        <w:fldChar w:fldCharType="separate"/>
      </w:r>
      <w:r w:rsidRPr="005F7846">
        <w:rPr>
          <w:rFonts w:asciiTheme="majorHAnsi" w:hAnsiTheme="majorHAnsi" w:cstheme="majorHAnsi"/>
          <w:noProof/>
        </w:rPr>
        <w:t xml:space="preserve">Tessa Toumbourou, ‘Samarinda’s Deadly Mining Pits’, </w:t>
      </w:r>
      <w:r w:rsidRPr="005F7846">
        <w:rPr>
          <w:rFonts w:asciiTheme="majorHAnsi" w:hAnsiTheme="majorHAnsi" w:cstheme="majorHAnsi"/>
          <w:i/>
          <w:noProof/>
        </w:rPr>
        <w:t>Inside Indonesia</w:t>
      </w:r>
      <w:r w:rsidRPr="005F7846">
        <w:rPr>
          <w:rFonts w:asciiTheme="majorHAnsi" w:hAnsiTheme="majorHAnsi" w:cstheme="majorHAnsi"/>
          <w:noProof/>
        </w:rPr>
        <w:t>, 2016.</w:t>
      </w:r>
      <w:r w:rsidRPr="005F7846">
        <w:rPr>
          <w:rFonts w:asciiTheme="majorHAnsi" w:hAnsiTheme="majorHAnsi" w:cstheme="majorHAnsi"/>
        </w:rPr>
        <w:fldChar w:fldCharType="end"/>
      </w:r>
    </w:p>
  </w:footnote>
  <w:footnote w:id="11">
    <w:p w:rsidR="005F7846" w:rsidRPr="005F7846" w:rsidRDefault="005F7846" w:rsidP="005F7846">
      <w:pPr>
        <w:pStyle w:val="FootnoteText"/>
        <w:ind w:firstLine="284"/>
        <w:jc w:val="both"/>
        <w:rPr>
          <w:rFonts w:asciiTheme="majorHAnsi" w:hAnsiTheme="majorHAnsi" w:cstheme="majorHAnsi"/>
        </w:rPr>
      </w:pPr>
      <w:r w:rsidRPr="005F7846">
        <w:rPr>
          <w:rStyle w:val="FootnoteReference"/>
          <w:rFonts w:asciiTheme="majorHAnsi" w:hAnsiTheme="majorHAnsi" w:cstheme="majorHAnsi"/>
        </w:rPr>
        <w:footnoteRef/>
      </w:r>
      <w:r w:rsidRPr="005F7846">
        <w:rPr>
          <w:rFonts w:asciiTheme="majorHAnsi" w:hAnsiTheme="majorHAnsi" w:cstheme="majorHAnsi"/>
        </w:rPr>
        <w:t xml:space="preserve"> </w:t>
      </w:r>
      <w:r w:rsidRPr="005F7846">
        <w:rPr>
          <w:rFonts w:asciiTheme="majorHAnsi" w:hAnsiTheme="majorHAnsi" w:cstheme="majorHAnsi"/>
        </w:rPr>
        <w:fldChar w:fldCharType="begin" w:fldLock="1"/>
      </w:r>
      <w:r>
        <w:rPr>
          <w:rFonts w:asciiTheme="majorHAnsi" w:hAnsiTheme="majorHAnsi" w:cstheme="majorHAnsi"/>
        </w:rPr>
        <w:instrText>ADDIN CSL_CITATION {"citationItems":[{"id":"ITEM-1","itemData":{"author":[{"dropping-particle":"","family":"Umah","given":"Anisatul","non-dropping-particle":"","parse-names":false,"suffix":""}],"container-title":"CNBC Indonesia","id":"ITEM-1","issued":{"date-parts":[["2020"]]},"title":"814 Lubang Tambang di Kalses disebut Tak Direklamasi, Serius?","type":"webpage"},"uris":["http://www.mendeley.com/documents/?uuid=cbd8c24a-44f6-4959-9f11-4ec37a6d375d","http://www.mendeley.com/documents/?uuid=cad0897f-c39e-4b57-ae1d-c9cec67b288f","http://www.mendeley.com/documents/?uuid=20f789dd-81f3-4ab3-8a57-bc9b727f8584","http://www.mendeley.com/documents/?uuid=9cb877b1-213c-43f4-800a-ac8767531b40"]}],"mendeley":{"formattedCitation":"Anisatul Umah, ‘814 Lubang Tambang Di Kalses Disebut Tak Direklamasi, Serius?’, &lt;i&gt;CNBC Indonesia&lt;/i&gt;, 2020.","plainTextFormattedCitation":"Anisatul Umah, ‘814 Lubang Tambang Di Kalses Disebut Tak Direklamasi, Serius?’, CNBC Indonesia, 2020.","previouslyFormattedCitation":"Anisatul Umah, ‘814 Lubang Tambang Di Kalses Disebut Tak Direklamasi, Serius?’, &lt;i&gt;CNBC Indonesia&lt;/i&gt;, 2020."},"properties":{"noteIndex":11},"schema":"https://github.com/citation-style-language/schema/raw/master/csl-citation.json"}</w:instrText>
      </w:r>
      <w:r w:rsidRPr="005F7846">
        <w:rPr>
          <w:rFonts w:asciiTheme="majorHAnsi" w:hAnsiTheme="majorHAnsi" w:cstheme="majorHAnsi"/>
        </w:rPr>
        <w:fldChar w:fldCharType="separate"/>
      </w:r>
      <w:r w:rsidRPr="005F7846">
        <w:rPr>
          <w:rFonts w:asciiTheme="majorHAnsi" w:hAnsiTheme="majorHAnsi" w:cstheme="majorHAnsi"/>
          <w:noProof/>
        </w:rPr>
        <w:t xml:space="preserve">Anisatul Umah, ‘814 Lubang Tambang Di Kalses Disebut Tak Direklamasi, Serius?’, </w:t>
      </w:r>
      <w:r w:rsidRPr="005F7846">
        <w:rPr>
          <w:rFonts w:asciiTheme="majorHAnsi" w:hAnsiTheme="majorHAnsi" w:cstheme="majorHAnsi"/>
          <w:i/>
          <w:noProof/>
        </w:rPr>
        <w:t>CNBC Indonesia</w:t>
      </w:r>
      <w:r w:rsidRPr="005F7846">
        <w:rPr>
          <w:rFonts w:asciiTheme="majorHAnsi" w:hAnsiTheme="majorHAnsi" w:cstheme="majorHAnsi"/>
          <w:noProof/>
        </w:rPr>
        <w:t>, 2020.</w:t>
      </w:r>
      <w:r w:rsidRPr="005F7846">
        <w:rPr>
          <w:rFonts w:asciiTheme="majorHAnsi" w:hAnsiTheme="majorHAnsi" w:cstheme="majorHAnsi"/>
        </w:rPr>
        <w:fldChar w:fldCharType="end"/>
      </w:r>
    </w:p>
  </w:footnote>
  <w:footnote w:id="12">
    <w:p w:rsidR="005F7846" w:rsidRPr="005F7846" w:rsidRDefault="005F7846" w:rsidP="005F7846">
      <w:pPr>
        <w:pStyle w:val="FootnoteText"/>
        <w:ind w:firstLine="284"/>
        <w:jc w:val="both"/>
        <w:rPr>
          <w:rFonts w:asciiTheme="majorHAnsi" w:hAnsiTheme="majorHAnsi" w:cstheme="majorHAnsi"/>
        </w:rPr>
      </w:pPr>
      <w:r w:rsidRPr="005F7846">
        <w:rPr>
          <w:rStyle w:val="FootnoteReference"/>
          <w:rFonts w:asciiTheme="majorHAnsi" w:hAnsiTheme="majorHAnsi" w:cstheme="majorHAnsi"/>
        </w:rPr>
        <w:footnoteRef/>
      </w:r>
      <w:r w:rsidRPr="005F7846">
        <w:rPr>
          <w:rFonts w:asciiTheme="majorHAnsi" w:hAnsiTheme="majorHAnsi" w:cstheme="majorHAnsi"/>
        </w:rPr>
        <w:t xml:space="preserve"> </w:t>
      </w:r>
      <w:r w:rsidRPr="005F7846">
        <w:rPr>
          <w:rFonts w:asciiTheme="majorHAnsi" w:hAnsiTheme="majorHAnsi" w:cstheme="majorHAnsi"/>
        </w:rPr>
        <w:fldChar w:fldCharType="begin" w:fldLock="1"/>
      </w:r>
      <w:r>
        <w:rPr>
          <w:rFonts w:asciiTheme="majorHAnsi" w:hAnsiTheme="majorHAnsi" w:cstheme="majorHAnsi"/>
        </w:rPr>
        <w:instrText>ADDIN CSL_CITATION {"citationItems":[{"id":"ITEM-1","itemData":{"DOI":"10.53955/jhcls.v1i2.8","ISSN":"2807-2979","abstract":"In its development, the management of oil and gas in Indonesia has undergone several policy developments. The enactment of Law Number 22 of 2001 concerning Oil and Gas has become a new chapter in the regulation of oil and gas in Indonesia. This law wants to emphasize that national development must be directed to the realization of people's welfare by carrying out reforms in all fields of national and state life. This article finds that the law has affirmed the objectives of natural gas management to increase state income, create jobs, improve the welfare and prosperity of the people in a just and equitable manner, and maintain the environmental sustainability. However, gas management must be carried out carefully and should be free from liberalization schemes that can bring about social injustice and failure to achieve people's welfare. The Constitutional Court's decision, which has annulled the articles in the law, is imperative to do the legal reconstruction by ensuring laws that create happiness for the people.Keywords: Oil; Natural Gas; Equal Energy; Management Policy. ","author":[{"dropping-particle":"","family":"Najicha","given":"Fatma Ulfatun","non-dropping-particle":"","parse-names":false,"suffix":""}],"container-title":"Journal of Human Rights, Culture and Legal System","id":"ITEM-1","issue":"2","issued":{"date-parts":[["2021"]]},"page":"2807-2812","title":"Oil and Natural Gas Management Policy in Realizing Equal Energy in Indonesia","type":"article-journal","volume":"1"},"uris":["http://www.mendeley.com/documents/?uuid=3b30c692-07f1-410c-8105-e73cc5929260"]}],"mendeley":{"formattedCitation":"Fatma Ulfatun Najicha, ‘Oil and Natural Gas Management Policy in Realizing Equal Energy in Indonesia’, &lt;i&gt;Journal of Human Rights, Culture and Legal System&lt;/i&gt;, 1.2 (2021), 2807–12 &lt;https://doi.org/10.53955/jhcls.v1i2.8&gt;.","plainTextFormattedCitation":"Fatma Ulfatun Najicha, ‘Oil and Natural Gas Management Policy in Realizing Equal Energy in Indonesia’, Journal of Human Rights, Culture and Legal System, 1.2 (2021), 2807–12 .","previouslyFormattedCitation":"Fatma Ulfatun Najicha, ‘Oil and Natural Gas Management Policy in Realizing Equal Energy in Indonesia’, &lt;i&gt;Journal of Human Rights, Culture and Legal System&lt;/i&gt;, 1.2 (2021), 2807–12 &lt;https://doi.org/10.53955/jhcls.v1i2.8&gt;."},"properties":{"noteIndex":12},"schema":"https://github.com/citation-style-language/schema/raw/master/csl-citation.json"}</w:instrText>
      </w:r>
      <w:r w:rsidRPr="005F7846">
        <w:rPr>
          <w:rFonts w:asciiTheme="majorHAnsi" w:hAnsiTheme="majorHAnsi" w:cstheme="majorHAnsi"/>
        </w:rPr>
        <w:fldChar w:fldCharType="separate"/>
      </w:r>
      <w:r w:rsidRPr="005F7846">
        <w:rPr>
          <w:rFonts w:asciiTheme="majorHAnsi" w:hAnsiTheme="majorHAnsi" w:cstheme="majorHAnsi"/>
          <w:noProof/>
        </w:rPr>
        <w:t xml:space="preserve">Fatma Ulfatun Najicha, ‘Oil and Natural Gas Management Policy in Realizing Equal Energy in Indonesia’, </w:t>
      </w:r>
      <w:r w:rsidRPr="005F7846">
        <w:rPr>
          <w:rFonts w:asciiTheme="majorHAnsi" w:hAnsiTheme="majorHAnsi" w:cstheme="majorHAnsi"/>
          <w:i/>
          <w:noProof/>
        </w:rPr>
        <w:t>Journal of Human Rights, Culture and Legal System</w:t>
      </w:r>
      <w:r w:rsidRPr="005F7846">
        <w:rPr>
          <w:rFonts w:asciiTheme="majorHAnsi" w:hAnsiTheme="majorHAnsi" w:cstheme="majorHAnsi"/>
          <w:noProof/>
        </w:rPr>
        <w:t>, 1.2 (2021), 2807–12 &lt;https://doi.org/10.53955/jhcls.v1i2.8&gt;.</w:t>
      </w:r>
      <w:r w:rsidRPr="005F7846">
        <w:rPr>
          <w:rFonts w:asciiTheme="majorHAnsi" w:hAnsiTheme="majorHAnsi" w:cstheme="majorHAnsi"/>
        </w:rPr>
        <w:fldChar w:fldCharType="end"/>
      </w:r>
    </w:p>
  </w:footnote>
  <w:footnote w:id="13">
    <w:p w:rsidR="005F7846" w:rsidRPr="005F7846" w:rsidRDefault="005F7846" w:rsidP="005F7846">
      <w:pPr>
        <w:pStyle w:val="FootnoteText"/>
        <w:ind w:firstLine="284"/>
        <w:jc w:val="both"/>
        <w:rPr>
          <w:rFonts w:asciiTheme="majorHAnsi" w:hAnsiTheme="majorHAnsi" w:cstheme="majorHAnsi"/>
        </w:rPr>
      </w:pPr>
      <w:r w:rsidRPr="005F7846">
        <w:rPr>
          <w:rStyle w:val="FootnoteReference"/>
          <w:rFonts w:asciiTheme="majorHAnsi" w:hAnsiTheme="majorHAnsi" w:cstheme="majorHAnsi"/>
        </w:rPr>
        <w:footnoteRef/>
      </w:r>
      <w:r w:rsidRPr="005F7846">
        <w:rPr>
          <w:rFonts w:asciiTheme="majorHAnsi" w:hAnsiTheme="majorHAnsi" w:cstheme="majorHAnsi"/>
        </w:rPr>
        <w:t xml:space="preserve"> </w:t>
      </w:r>
      <w:r w:rsidRPr="005F7846">
        <w:rPr>
          <w:rFonts w:asciiTheme="majorHAnsi" w:hAnsiTheme="majorHAnsi" w:cstheme="majorHAnsi"/>
        </w:rPr>
        <w:fldChar w:fldCharType="begin" w:fldLock="1"/>
      </w:r>
      <w:r>
        <w:rPr>
          <w:rFonts w:asciiTheme="majorHAnsi" w:hAnsiTheme="majorHAnsi" w:cstheme="majorHAnsi"/>
        </w:rPr>
        <w:instrText>ADDIN CSL_CITATION {"citationItems":[{"id":"ITEM-1","itemData":{"DOI":"10.1016/j.enpol.2016.09.009","ISSN":"03014215","abstract":"Fossil fuels are central to Indonesia's energy policy, and its main source of export revenues. However, insufficient investment, the lack of transport infrastructure and an unwieldy regulatory environment are inhibiting the sector from reaching its full potential. Looking ahead, growing environmental concerns combined with sharp falls in coal prices and the on-going shale gas revolution call into question the sustainability of an energy strategy based almost exclusively on fossil fuels. This viewpoint challenges Indonesia's current energy policy and proposes ways to increase its energy efficiency and use of renewables. In particular, its gas sector should be further developed to plug the gap until sufficient renewable energy, especially geothermal, comes on line. Government control over the oil industry via state-owned Pertamina should be gradually reduced. Clarifying, streamlining and publicising simple regulations in energy, especially regarding land rights and on-shore processing, and removing foreign-ownership restrictions will help bring much needed investment. The pressure on the environment of natural resource exploitation should also be addressed by properly defining property rights and regulations regarding forest land, and implementing a positive implicit carbon price.","author":[{"dropping-particle":"","family":"Dutu","given":"Richard","non-dropping-particle":"","parse-names":false,"suffix":""}],"container-title":"Energy Policy","id":"ITEM-1","issued":{"date-parts":[["2016"]]},"page":"513-519","title":"Challenges and policies in Indonesia's energy sector","type":"article","volume":"98"},"uris":["http://www.mendeley.com/documents/?uuid=75bef094-aee3-40a3-84d5-71d07d007ea5"]}],"mendeley":{"formattedCitation":"Richard Dutu, ‘Challenges and Policies in Indonesia’s Energy Sector’, &lt;i&gt;Energy Policy&lt;/i&gt;, 2016, 513–19 &lt;https://doi.org/10.1016/j.enpol.2016.09.009&gt;.","plainTextFormattedCitation":"Richard Dutu, ‘Challenges and Policies in Indonesia’s Energy Sector’, Energy Policy, 2016, 513–19 .","previouslyFormattedCitation":"Richard Dutu, ‘Challenges and Policies in Indonesia’s Energy Sector’, &lt;i&gt;Energy Policy&lt;/i&gt;, 2016, 513–19 &lt;https://doi.org/10.1016/j.enpol.2016.09.009&gt;."},"properties":{"noteIndex":13},"schema":"https://github.com/citation-style-language/schema/raw/master/csl-citation.json"}</w:instrText>
      </w:r>
      <w:r w:rsidRPr="005F7846">
        <w:rPr>
          <w:rFonts w:asciiTheme="majorHAnsi" w:hAnsiTheme="majorHAnsi" w:cstheme="majorHAnsi"/>
        </w:rPr>
        <w:fldChar w:fldCharType="separate"/>
      </w:r>
      <w:r w:rsidRPr="005F7846">
        <w:rPr>
          <w:rFonts w:asciiTheme="majorHAnsi" w:hAnsiTheme="majorHAnsi" w:cstheme="majorHAnsi"/>
          <w:noProof/>
        </w:rPr>
        <w:t xml:space="preserve">Richard Dutu, ‘Challenges and Policies in Indonesia’s Energy Sector’, </w:t>
      </w:r>
      <w:r w:rsidRPr="005F7846">
        <w:rPr>
          <w:rFonts w:asciiTheme="majorHAnsi" w:hAnsiTheme="majorHAnsi" w:cstheme="majorHAnsi"/>
          <w:i/>
          <w:noProof/>
        </w:rPr>
        <w:t>Energy Policy</w:t>
      </w:r>
      <w:r w:rsidRPr="005F7846">
        <w:rPr>
          <w:rFonts w:asciiTheme="majorHAnsi" w:hAnsiTheme="majorHAnsi" w:cstheme="majorHAnsi"/>
          <w:noProof/>
        </w:rPr>
        <w:t>, 2016, 513–19 &lt;https://doi.org/10.1016/j.enpol.2016.09.009&gt;.</w:t>
      </w:r>
      <w:r w:rsidRPr="005F7846">
        <w:rPr>
          <w:rFonts w:asciiTheme="majorHAnsi" w:hAnsiTheme="majorHAnsi" w:cstheme="majorHAnsi"/>
        </w:rPr>
        <w:fldChar w:fldCharType="end"/>
      </w:r>
    </w:p>
  </w:footnote>
  <w:footnote w:id="14">
    <w:p w:rsidR="005F7846" w:rsidRPr="005F7846" w:rsidRDefault="005F7846" w:rsidP="005F7846">
      <w:pPr>
        <w:pStyle w:val="FootnoteText"/>
        <w:ind w:firstLine="284"/>
        <w:jc w:val="both"/>
        <w:rPr>
          <w:rFonts w:asciiTheme="majorHAnsi" w:hAnsiTheme="majorHAnsi" w:cstheme="majorHAnsi"/>
        </w:rPr>
      </w:pPr>
      <w:r w:rsidRPr="005F7846">
        <w:rPr>
          <w:rStyle w:val="FootnoteReference"/>
          <w:rFonts w:asciiTheme="majorHAnsi" w:hAnsiTheme="majorHAnsi" w:cstheme="majorHAnsi"/>
        </w:rPr>
        <w:footnoteRef/>
      </w:r>
      <w:r w:rsidRPr="005F7846">
        <w:rPr>
          <w:rFonts w:asciiTheme="majorHAnsi" w:hAnsiTheme="majorHAnsi" w:cstheme="majorHAnsi"/>
        </w:rPr>
        <w:t xml:space="preserve"> </w:t>
      </w:r>
      <w:r w:rsidRPr="005F7846">
        <w:rPr>
          <w:rFonts w:asciiTheme="majorHAnsi" w:hAnsiTheme="majorHAnsi" w:cstheme="majorHAnsi"/>
        </w:rPr>
        <w:fldChar w:fldCharType="begin" w:fldLock="1"/>
      </w:r>
      <w:r>
        <w:rPr>
          <w:rFonts w:asciiTheme="majorHAnsi" w:hAnsiTheme="majorHAnsi" w:cstheme="majorHAnsi"/>
        </w:rPr>
        <w:instrText>ADDIN CSL_CITATION {"citationItems":[{"id":"ITEM-1","itemData":{"author":[{"dropping-particle":"","family":"Saiful Hi. Soleman","given":"","non-dropping-particle":"","parse-names":false,"suffix":""},{"dropping-particle":"","family":"Rusdin Alauddin","given":"","non-dropping-particle":"","parse-names":false,"suffix":""},{"dropping-particle":"","family":"Irham Rosyidi","given":"","non-dropping-particle":"","parse-names":false,"suffix":""}],"container-title":"Law Journal","id":"ITEM-1","issue":"2","issued":{"date-parts":[["2020"]]},"page":"79-92","title":"Efektivitas Pelaksanaan Amdal pada Kegiatan Pertambangan di Provinsi Maluku Utara","type":"article-journal","volume":"3"},"uris":["http://www.mendeley.com/documents/?uuid=b40b22be-5561-4b32-ad67-e9af5f5a9c06","http://www.mendeley.com/documents/?uuid=ed936ad3-2a68-44f7-b882-945b0b0478f5","http://www.mendeley.com/documents/?uuid=cc249ed7-4998-4ac6-a3bb-352328a230d8","http://www.mendeley.com/documents/?uuid=b0a8af84-949c-4301-ac41-446d9aa613c1"]}],"mendeley":{"formattedCitation":"Saiful Hi. Soleman, Rusdin Alauddin, and Irham Rosyidi, ‘Efektivitas Pelaksanaan Amdal Pada Kegiatan Pertambangan Di Provinsi Maluku Utara’, &lt;i&gt;Law Journal&lt;/i&gt;, 3.2 (2020), 79–92.","plainTextFormattedCitation":"Saiful Hi. Soleman, Rusdin Alauddin, and Irham Rosyidi, ‘Efektivitas Pelaksanaan Amdal Pada Kegiatan Pertambangan Di Provinsi Maluku Utara’, Law Journal, 3.2 (2020), 79–92.","previouslyFormattedCitation":"Saiful Hi. Soleman, Rusdin Alauddin, and Irham Rosyidi, ‘Efektivitas Pelaksanaan Amdal Pada Kegiatan Pertambangan Di Provinsi Maluku Utara’, &lt;i&gt;Law Journal&lt;/i&gt;, 3.2 (2020), 79–92."},"properties":{"noteIndex":14},"schema":"https://github.com/citation-style-language/schema/raw/master/csl-citation.json"}</w:instrText>
      </w:r>
      <w:r w:rsidRPr="005F7846">
        <w:rPr>
          <w:rFonts w:asciiTheme="majorHAnsi" w:hAnsiTheme="majorHAnsi" w:cstheme="majorHAnsi"/>
        </w:rPr>
        <w:fldChar w:fldCharType="separate"/>
      </w:r>
      <w:r w:rsidRPr="005F7846">
        <w:rPr>
          <w:rFonts w:asciiTheme="majorHAnsi" w:hAnsiTheme="majorHAnsi" w:cstheme="majorHAnsi"/>
          <w:noProof/>
        </w:rPr>
        <w:t xml:space="preserve">Saiful Hi. Soleman, Rusdin Alauddin, and Irham Rosyidi, ‘Efektivitas Pelaksanaan Amdal Pada Kegiatan Pertambangan Di Provinsi Maluku Utara’, </w:t>
      </w:r>
      <w:r w:rsidRPr="005F7846">
        <w:rPr>
          <w:rFonts w:asciiTheme="majorHAnsi" w:hAnsiTheme="majorHAnsi" w:cstheme="majorHAnsi"/>
          <w:i/>
          <w:noProof/>
        </w:rPr>
        <w:t>Law Journal</w:t>
      </w:r>
      <w:r w:rsidRPr="005F7846">
        <w:rPr>
          <w:rFonts w:asciiTheme="majorHAnsi" w:hAnsiTheme="majorHAnsi" w:cstheme="majorHAnsi"/>
          <w:noProof/>
        </w:rPr>
        <w:t>, 3.2 (2020), 79–92.</w:t>
      </w:r>
      <w:r w:rsidRPr="005F7846">
        <w:rPr>
          <w:rFonts w:asciiTheme="majorHAnsi" w:hAnsiTheme="majorHAnsi" w:cstheme="majorHAnsi"/>
        </w:rPr>
        <w:fldChar w:fldCharType="end"/>
      </w:r>
    </w:p>
  </w:footnote>
  <w:footnote w:id="15">
    <w:p w:rsidR="005F7846" w:rsidRPr="005F7846" w:rsidRDefault="005F7846" w:rsidP="005F7846">
      <w:pPr>
        <w:pStyle w:val="FootnoteText"/>
        <w:ind w:firstLine="284"/>
        <w:jc w:val="both"/>
        <w:rPr>
          <w:rFonts w:asciiTheme="majorHAnsi" w:hAnsiTheme="majorHAnsi" w:cstheme="majorHAnsi"/>
        </w:rPr>
      </w:pPr>
      <w:r w:rsidRPr="005F7846">
        <w:rPr>
          <w:rStyle w:val="FootnoteReference"/>
          <w:rFonts w:asciiTheme="majorHAnsi" w:hAnsiTheme="majorHAnsi" w:cstheme="majorHAnsi"/>
        </w:rPr>
        <w:footnoteRef/>
      </w:r>
      <w:r w:rsidRPr="005F7846">
        <w:rPr>
          <w:rFonts w:asciiTheme="majorHAnsi" w:hAnsiTheme="majorHAnsi" w:cstheme="majorHAnsi"/>
        </w:rPr>
        <w:t xml:space="preserve"> </w:t>
      </w:r>
      <w:r w:rsidRPr="005F7846">
        <w:rPr>
          <w:rFonts w:asciiTheme="majorHAnsi" w:hAnsiTheme="majorHAnsi" w:cstheme="majorHAnsi"/>
        </w:rPr>
        <w:fldChar w:fldCharType="begin" w:fldLock="1"/>
      </w:r>
      <w:r>
        <w:rPr>
          <w:rFonts w:asciiTheme="majorHAnsi" w:hAnsiTheme="majorHAnsi" w:cstheme="majorHAnsi"/>
        </w:rPr>
        <w:instrText>ADDIN CSL_CITATION {"citationItems":[{"id":"ITEM-1","itemData":{"ISSN":"15440044","abstract":"This article contains an overview of the cluster approach methods; the author analyses the management strategy in mining activities permit in forest area. The law management mining should be synergy policy in term of the mining activities permit in forest areas, in the Act No. 41 1999, there is still overlapping the utilization of forest between mining and forestry activities are still unresolved and still occur in some areas. Similarly, Law No. 4 Year 2009 on Mineral and Coal is not yet fully support synergically, the natural sustainability remain legal, it can be seen from the existence of many dredging coal mines, then the Law 32 of 2009 requires the use of natural resources which is in harmony and balanced with environmental functions. There is a duality of government policy, in which one side of them seeks to protect protected areas and establish rules to preserve it, but on the other hand, it is opened up opportunities for the protected forest area to be exploited. Policy or development program must be imbued by the obligation to make environmental preservation and realize the goal of sustainable development.","author":[{"dropping-particle":"","family":"Handayani","given":"I. Gusti Ayu Ketut Rachmi","non-dropping-particle":"","parse-names":false,"suffix":""},{"dropping-particle":"","family":"Sulistiyono","given":"Adi","non-dropping-particle":"","parse-names":false,"suffix":""},{"dropping-particle":"","family":"Leonard","given":"Tommy","non-dropping-particle":"","parse-names":false,"suffix":""},{"dropping-particle":"","family":"Gunardi","given":"Ardi","non-dropping-particle":"","parse-names":false,"suffix":""},{"dropping-particle":"","family":"Najicha","given":"Fatma Ulfatun","non-dropping-particle":"","parse-names":false,"suffix":""}],"container-title":"Journal of Legal, Ethical and Regulatory Issues","id":"ITEM-1","issue":"2","issued":{"date-parts":[["2018"]]},"title":"Environmental management strategy in mining activities in forest area accordance with the based justice in Indonesia","type":"article-journal","volume":"21"},"uris":["http://www.mendeley.com/documents/?uuid=d891aba8-7332-4732-ae5e-533332e4b9b9"]}],"mendeley":{"formattedCitation":"I. Gusti Ayu Ketut Rachmi Handayani and others, ‘Environmental Management Strategy in Mining Activities in Forest Area Accordance with the Based Justice in Indonesia’, &lt;i&gt;Journal of Legal, Ethical and Regulatory Issues&lt;/i&gt;, 21.2 (2018).","plainTextFormattedCitation":"I. Gusti Ayu Ketut Rachmi Handayani and others, ‘Environmental Management Strategy in Mining Activities in Forest Area Accordance with the Based Justice in Indonesia’, Journal of Legal, Ethical and Regulatory Issues, 21.2 (2018).","previouslyFormattedCitation":"I. Gusti Ayu Ketut Rachmi Handayani and others, ‘Environmental Management Strategy in Mining Activities in Forest Area Accordance with the Based Justice in Indonesia’, &lt;i&gt;Journal of Legal, Ethical and Regulatory Issues&lt;/i&gt;, 21.2 (2018)."},"properties":{"noteIndex":15},"schema":"https://github.com/citation-style-language/schema/raw/master/csl-citation.json"}</w:instrText>
      </w:r>
      <w:r w:rsidRPr="005F7846">
        <w:rPr>
          <w:rFonts w:asciiTheme="majorHAnsi" w:hAnsiTheme="majorHAnsi" w:cstheme="majorHAnsi"/>
        </w:rPr>
        <w:fldChar w:fldCharType="separate"/>
      </w:r>
      <w:r w:rsidRPr="005F7846">
        <w:rPr>
          <w:rFonts w:asciiTheme="majorHAnsi" w:hAnsiTheme="majorHAnsi" w:cstheme="majorHAnsi"/>
          <w:noProof/>
        </w:rPr>
        <w:t xml:space="preserve">I. Gusti Ayu Ketut Rachmi Handayani and others, ‘Environmental Management Strategy in Mining Activities in Forest Area Accordance with the Based Justice in Indonesia’, </w:t>
      </w:r>
      <w:r w:rsidRPr="005F7846">
        <w:rPr>
          <w:rFonts w:asciiTheme="majorHAnsi" w:hAnsiTheme="majorHAnsi" w:cstheme="majorHAnsi"/>
          <w:i/>
          <w:noProof/>
        </w:rPr>
        <w:t>Journal of Legal, Ethical and Regulatory Issues</w:t>
      </w:r>
      <w:r w:rsidRPr="005F7846">
        <w:rPr>
          <w:rFonts w:asciiTheme="majorHAnsi" w:hAnsiTheme="majorHAnsi" w:cstheme="majorHAnsi"/>
          <w:noProof/>
        </w:rPr>
        <w:t>, 21.2 (2018).</w:t>
      </w:r>
      <w:r w:rsidRPr="005F7846">
        <w:rPr>
          <w:rFonts w:asciiTheme="majorHAnsi" w:hAnsiTheme="majorHAnsi" w:cstheme="majorHAnsi"/>
        </w:rPr>
        <w:fldChar w:fldCharType="end"/>
      </w:r>
    </w:p>
  </w:footnote>
  <w:footnote w:id="16">
    <w:p w:rsidR="005F7846" w:rsidRPr="005F7846" w:rsidRDefault="005F7846" w:rsidP="005F7846">
      <w:pPr>
        <w:pStyle w:val="FootnoteText"/>
        <w:ind w:firstLine="284"/>
        <w:jc w:val="both"/>
        <w:rPr>
          <w:rFonts w:asciiTheme="majorHAnsi" w:hAnsiTheme="majorHAnsi" w:cstheme="majorHAnsi"/>
        </w:rPr>
      </w:pPr>
      <w:r w:rsidRPr="005F7846">
        <w:rPr>
          <w:rStyle w:val="FootnoteReference"/>
          <w:rFonts w:asciiTheme="majorHAnsi" w:hAnsiTheme="majorHAnsi" w:cstheme="majorHAnsi"/>
        </w:rPr>
        <w:footnoteRef/>
      </w:r>
      <w:r w:rsidRPr="005F7846">
        <w:rPr>
          <w:rFonts w:asciiTheme="majorHAnsi" w:hAnsiTheme="majorHAnsi" w:cstheme="majorHAnsi"/>
        </w:rPr>
        <w:t xml:space="preserve"> </w:t>
      </w:r>
      <w:r w:rsidRPr="005F7846">
        <w:rPr>
          <w:rFonts w:asciiTheme="majorHAnsi" w:hAnsiTheme="majorHAnsi" w:cstheme="majorHAnsi"/>
        </w:rPr>
        <w:fldChar w:fldCharType="begin" w:fldLock="1"/>
      </w:r>
      <w:r>
        <w:rPr>
          <w:rFonts w:asciiTheme="majorHAnsi" w:hAnsiTheme="majorHAnsi" w:cstheme="majorHAnsi"/>
        </w:rPr>
        <w:instrText>ADDIN CSL_CITATION {"citationItems":[{"id":"ITEM-1","itemData":{"DOI":"10.53955/jhcls.v1i2.10","ISSN":"2807-2979","abstract":"Ecolabel is an international environmental standard that has been set by the World Trade Organization (WTO). The application of ecolabel is expected to be a solution for environmental problems. Ecolabeling is carried out with an approach of internationally agreed standards. In the timber industry in Indonesia, ecolabeling is implemented with the Timber Legality Verification System (SVLK) policy. This policy is proven to overcome illegal logging and illegal trade and improve forest governance.Keywords: Ecolabel; SVLK; and Environment. ","author":[{"dropping-particle":"","family":"Ma’ruf","given":"Arifin","non-dropping-particle":"","parse-names":false,"suffix":""}],"container-title":"Journal of Human Rights, Culture and Legal System","id":"ITEM-1","issue":"2","issued":{"date-parts":[["2021"]]},"page":"92-99","title":"Application of Timber Legality Verification System (SVLK) Policy as Ecolabel Implementation in the Indonesian Timber Industry","type":"article-journal","volume":"1"},"uris":["http://www.mendeley.com/documents/?uuid=6ef47668-25ca-41ee-9a3c-8d0c9a4ba868"]}],"mendeley":{"formattedCitation":"Arifin Ma’ruf, ‘Application of Timber Legality Verification System (SVLK) Policy as Ecolabel Implementation in the Indonesian Timber Industry’, &lt;i&gt;Journal of Human Rights, Culture and Legal System&lt;/i&gt;, 1.2 (2021), 92–99 &lt;https://doi.org/10.53955/jhcls.v1i2.10&gt;.","plainTextFormattedCitation":"Arifin Ma’ruf, ‘Application of Timber Legality Verification System (SVLK) Policy as Ecolabel Implementation in the Indonesian Timber Industry’, Journal of Human Rights, Culture and Legal System, 1.2 (2021), 92–99 .","previouslyFormattedCitation":"Arifin Ma’ruf, ‘Application of Timber Legality Verification System (SVLK) Policy as Ecolabel Implementation in the Indonesian Timber Industry’, &lt;i&gt;Journal of Human Rights, Culture and Legal System&lt;/i&gt;, 1.2 (2021), 92–99 &lt;https://doi.org/10.53955/jhcls.v1i2.10&gt;."},"properties":{"noteIndex":16},"schema":"https://github.com/citation-style-language/schema/raw/master/csl-citation.json"}</w:instrText>
      </w:r>
      <w:r w:rsidRPr="005F7846">
        <w:rPr>
          <w:rFonts w:asciiTheme="majorHAnsi" w:hAnsiTheme="majorHAnsi" w:cstheme="majorHAnsi"/>
        </w:rPr>
        <w:fldChar w:fldCharType="separate"/>
      </w:r>
      <w:r w:rsidRPr="005F7846">
        <w:rPr>
          <w:rFonts w:asciiTheme="majorHAnsi" w:hAnsiTheme="majorHAnsi" w:cstheme="majorHAnsi"/>
          <w:noProof/>
        </w:rPr>
        <w:t xml:space="preserve">Arifin Ma’ruf, ‘Application of Timber Legality Verification System (SVLK) Policy as Ecolabel Implementation in the Indonesian Timber Industry’, </w:t>
      </w:r>
      <w:r w:rsidRPr="005F7846">
        <w:rPr>
          <w:rFonts w:asciiTheme="majorHAnsi" w:hAnsiTheme="majorHAnsi" w:cstheme="majorHAnsi"/>
          <w:i/>
          <w:noProof/>
        </w:rPr>
        <w:t>Journal of Human Rights, Culture and Legal System</w:t>
      </w:r>
      <w:r w:rsidRPr="005F7846">
        <w:rPr>
          <w:rFonts w:asciiTheme="majorHAnsi" w:hAnsiTheme="majorHAnsi" w:cstheme="majorHAnsi"/>
          <w:noProof/>
        </w:rPr>
        <w:t>, 1.2 (2021), 92–99 &lt;https://doi.org/10.53955/jhcls.v1i2.10&gt;.</w:t>
      </w:r>
      <w:r w:rsidRPr="005F7846">
        <w:rPr>
          <w:rFonts w:asciiTheme="majorHAnsi" w:hAnsiTheme="majorHAnsi" w:cstheme="majorHAnsi"/>
        </w:rPr>
        <w:fldChar w:fldCharType="end"/>
      </w:r>
    </w:p>
  </w:footnote>
  <w:footnote w:id="17">
    <w:p w:rsidR="005F7846" w:rsidRPr="005F7846" w:rsidRDefault="005F7846" w:rsidP="005F7846">
      <w:pPr>
        <w:pStyle w:val="FootnoteText"/>
        <w:ind w:firstLine="284"/>
        <w:jc w:val="both"/>
        <w:rPr>
          <w:rFonts w:asciiTheme="majorHAnsi" w:hAnsiTheme="majorHAnsi" w:cstheme="majorHAnsi"/>
        </w:rPr>
      </w:pPr>
      <w:r w:rsidRPr="005F7846">
        <w:rPr>
          <w:rStyle w:val="FootnoteReference"/>
          <w:rFonts w:asciiTheme="majorHAnsi" w:hAnsiTheme="majorHAnsi" w:cstheme="majorHAnsi"/>
        </w:rPr>
        <w:footnoteRef/>
      </w:r>
      <w:r w:rsidRPr="005F7846">
        <w:rPr>
          <w:rFonts w:asciiTheme="majorHAnsi" w:hAnsiTheme="majorHAnsi" w:cstheme="majorHAnsi"/>
        </w:rPr>
        <w:t xml:space="preserve"> </w:t>
      </w:r>
      <w:r w:rsidRPr="005F7846">
        <w:rPr>
          <w:rFonts w:asciiTheme="majorHAnsi" w:hAnsiTheme="majorHAnsi" w:cstheme="majorHAnsi"/>
        </w:rPr>
        <w:fldChar w:fldCharType="begin" w:fldLock="1"/>
      </w:r>
      <w:r>
        <w:rPr>
          <w:rFonts w:asciiTheme="majorHAnsi" w:hAnsiTheme="majorHAnsi" w:cstheme="majorHAnsi"/>
        </w:rPr>
        <w:instrText>ADDIN CSL_CITATION {"citationItems":[{"id":"ITEM-1","itemData":{"author":[{"dropping-particle":"","family":"Putra","given":"David Aprizon","non-dropping-particle":"","parse-names":false,"suffix":""}],"container-title":"Jurnal Legality","id":"ITEM-1","issue":"1","issued":{"date-parts":[["2016"]]},"page":"16","title":"Eksistensi Sistem Hukum Perizinan Kegiatan Pertambangan dalam Otonomi Daerah sebagai salah satu Instrumen Hukum Hak-Hak Masyarakat","type":"article-journal","volume":"24"},"uris":["http://www.mendeley.com/documents/?uuid=5bd06b5d-89b1-400d-ae51-14362965e678"]}],"mendeley":{"formattedCitation":"David Aprizon Putra, ‘Eksistensi Sistem Hukum Perizinan Kegiatan Pertambangan Dalam Otonomi Daerah Sebagai Salah Satu Instrumen Hukum Hak-Hak Masyarakat’, &lt;i&gt;Jurnal Legality&lt;/i&gt;, 24.1 (2016), 16.","plainTextFormattedCitation":"David Aprizon Putra, ‘Eksistensi Sistem Hukum Perizinan Kegiatan Pertambangan Dalam Otonomi Daerah Sebagai Salah Satu Instrumen Hukum Hak-Hak Masyarakat’, Jurnal Legality, 24.1 (2016), 16.","previouslyFormattedCitation":"David Aprizon Putra, ‘Eksistensi Sistem Hukum Perizinan Kegiatan Pertambangan Dalam Otonomi Daerah Sebagai Salah Satu Instrumen Hukum Hak-Hak Masyarakat’, &lt;i&gt;Jurnal Legality&lt;/i&gt;, 24.1 (2016), 16."},"properties":{"noteIndex":17},"schema":"https://github.com/citation-style-language/schema/raw/master/csl-citation.json"}</w:instrText>
      </w:r>
      <w:r w:rsidRPr="005F7846">
        <w:rPr>
          <w:rFonts w:asciiTheme="majorHAnsi" w:hAnsiTheme="majorHAnsi" w:cstheme="majorHAnsi"/>
        </w:rPr>
        <w:fldChar w:fldCharType="separate"/>
      </w:r>
      <w:r w:rsidRPr="005F7846">
        <w:rPr>
          <w:rFonts w:asciiTheme="majorHAnsi" w:hAnsiTheme="majorHAnsi" w:cstheme="majorHAnsi"/>
          <w:noProof/>
        </w:rPr>
        <w:t xml:space="preserve">David Aprizon Putra, ‘Eksistensi Sistem Hukum Perizinan Kegiatan Pertambangan Dalam Otonomi Daerah Sebagai Salah Satu Instrumen Hukum Hak-Hak Masyarakat’, </w:t>
      </w:r>
      <w:r w:rsidRPr="005F7846">
        <w:rPr>
          <w:rFonts w:asciiTheme="majorHAnsi" w:hAnsiTheme="majorHAnsi" w:cstheme="majorHAnsi"/>
          <w:i/>
          <w:noProof/>
        </w:rPr>
        <w:t>Jurnal Legality</w:t>
      </w:r>
      <w:r w:rsidRPr="005F7846">
        <w:rPr>
          <w:rFonts w:asciiTheme="majorHAnsi" w:hAnsiTheme="majorHAnsi" w:cstheme="majorHAnsi"/>
          <w:noProof/>
        </w:rPr>
        <w:t>, 24.1 (2016), 16.</w:t>
      </w:r>
      <w:r w:rsidRPr="005F7846">
        <w:rPr>
          <w:rFonts w:asciiTheme="majorHAnsi" w:hAnsiTheme="majorHAnsi" w:cstheme="majorHAnsi"/>
        </w:rPr>
        <w:fldChar w:fldCharType="end"/>
      </w:r>
    </w:p>
  </w:footnote>
  <w:footnote w:id="18">
    <w:p w:rsidR="005F7846" w:rsidRPr="005F7846" w:rsidRDefault="005F7846" w:rsidP="005F7846">
      <w:pPr>
        <w:pStyle w:val="FootnoteText"/>
        <w:ind w:firstLine="284"/>
        <w:jc w:val="both"/>
        <w:rPr>
          <w:rFonts w:asciiTheme="majorHAnsi" w:hAnsiTheme="majorHAnsi" w:cstheme="majorHAnsi"/>
        </w:rPr>
      </w:pPr>
      <w:r w:rsidRPr="005F7846">
        <w:rPr>
          <w:rStyle w:val="FootnoteReference"/>
          <w:rFonts w:asciiTheme="majorHAnsi" w:hAnsiTheme="majorHAnsi" w:cstheme="majorHAnsi"/>
        </w:rPr>
        <w:footnoteRef/>
      </w:r>
      <w:r w:rsidRPr="005F7846">
        <w:rPr>
          <w:rFonts w:asciiTheme="majorHAnsi" w:hAnsiTheme="majorHAnsi" w:cstheme="majorHAnsi"/>
        </w:rPr>
        <w:t xml:space="preserve"> </w:t>
      </w:r>
      <w:r w:rsidRPr="005F7846">
        <w:rPr>
          <w:rFonts w:asciiTheme="majorHAnsi" w:hAnsiTheme="majorHAnsi" w:cstheme="majorHAnsi"/>
        </w:rPr>
        <w:fldChar w:fldCharType="begin" w:fldLock="1"/>
      </w:r>
      <w:r>
        <w:rPr>
          <w:rFonts w:asciiTheme="majorHAnsi" w:hAnsiTheme="majorHAnsi" w:cstheme="majorHAnsi"/>
        </w:rPr>
        <w:instrText>ADDIN CSL_CITATION {"citationItems":[{"id":"ITEM-1","itemData":{"author":[{"dropping-particle":"","family":"Raya","given":"Muhammad Yaasiin","non-dropping-particle":"","parse-names":false,"suffix":""},{"dropping-particle":"","family":"Irwansyah","given":"","non-dropping-particle":"","parse-names":false,"suffix":""}],"container-title":"Papua Law Journal","id":"ITEM-1","issue":"2","issued":{"date-parts":[["2017"]]},"page":"223","title":"Analisis Kewajiban Deposito sebagai Jaminan Reklamasi dan Pasca Tambang","type":"article-journal","volume":"1"},"uris":["http://www.mendeley.com/documents/?uuid=fbf647e8-85d4-4f4b-88dc-1f682d6335d3"]}],"mendeley":{"formattedCitation":"Muhammad Yaasiin Raya and Irwansyah, ‘Analisis Kewajiban Deposito Sebagai Jaminan Reklamasi Dan Pasca Tambang’, &lt;i&gt;Papua Law Journal&lt;/i&gt;, 1.2 (2017), 223.","plainTextFormattedCitation":"Muhammad Yaasiin Raya and Irwansyah, ‘Analisis Kewajiban Deposito Sebagai Jaminan Reklamasi Dan Pasca Tambang’, Papua Law Journal, 1.2 (2017), 223.","previouslyFormattedCitation":"Muhammad Yaasiin Raya and Irwansyah, ‘Analisis Kewajiban Deposito Sebagai Jaminan Reklamasi Dan Pasca Tambang’, &lt;i&gt;Papua Law Journal&lt;/i&gt;, 1.2 (2017), 223."},"properties":{"noteIndex":18},"schema":"https://github.com/citation-style-language/schema/raw/master/csl-citation.json"}</w:instrText>
      </w:r>
      <w:r w:rsidRPr="005F7846">
        <w:rPr>
          <w:rFonts w:asciiTheme="majorHAnsi" w:hAnsiTheme="majorHAnsi" w:cstheme="majorHAnsi"/>
        </w:rPr>
        <w:fldChar w:fldCharType="separate"/>
      </w:r>
      <w:r w:rsidRPr="005F7846">
        <w:rPr>
          <w:rFonts w:asciiTheme="majorHAnsi" w:hAnsiTheme="majorHAnsi" w:cstheme="majorHAnsi"/>
          <w:noProof/>
        </w:rPr>
        <w:t xml:space="preserve">Muhammad Yaasiin Raya and Irwansyah, ‘Analisis Kewajiban Deposito Sebagai Jaminan Reklamasi Dan Pasca Tambang’, </w:t>
      </w:r>
      <w:r w:rsidRPr="005F7846">
        <w:rPr>
          <w:rFonts w:asciiTheme="majorHAnsi" w:hAnsiTheme="majorHAnsi" w:cstheme="majorHAnsi"/>
          <w:i/>
          <w:noProof/>
        </w:rPr>
        <w:t>Papua Law Journal</w:t>
      </w:r>
      <w:r w:rsidRPr="005F7846">
        <w:rPr>
          <w:rFonts w:asciiTheme="majorHAnsi" w:hAnsiTheme="majorHAnsi" w:cstheme="majorHAnsi"/>
          <w:noProof/>
        </w:rPr>
        <w:t>, 1.2 (2017), 223.</w:t>
      </w:r>
      <w:r w:rsidRPr="005F7846">
        <w:rPr>
          <w:rFonts w:asciiTheme="majorHAnsi" w:hAnsiTheme="majorHAnsi" w:cstheme="majorHAnsi"/>
        </w:rPr>
        <w:fldChar w:fldCharType="end"/>
      </w:r>
    </w:p>
  </w:footnote>
  <w:footnote w:id="19">
    <w:p w:rsidR="005F7846" w:rsidRPr="005F7846" w:rsidRDefault="005F7846" w:rsidP="005F7846">
      <w:pPr>
        <w:pStyle w:val="FootnoteText"/>
        <w:ind w:firstLine="284"/>
        <w:jc w:val="both"/>
        <w:rPr>
          <w:rFonts w:asciiTheme="majorHAnsi" w:hAnsiTheme="majorHAnsi" w:cstheme="majorHAnsi"/>
        </w:rPr>
      </w:pPr>
      <w:r w:rsidRPr="005F7846">
        <w:rPr>
          <w:rStyle w:val="FootnoteReference"/>
          <w:rFonts w:asciiTheme="majorHAnsi" w:hAnsiTheme="majorHAnsi" w:cstheme="majorHAnsi"/>
        </w:rPr>
        <w:footnoteRef/>
      </w:r>
      <w:r w:rsidRPr="005F7846">
        <w:rPr>
          <w:rFonts w:asciiTheme="majorHAnsi" w:hAnsiTheme="majorHAnsi" w:cstheme="majorHAnsi"/>
        </w:rPr>
        <w:t xml:space="preserve"> </w:t>
      </w:r>
      <w:r w:rsidRPr="005F7846">
        <w:rPr>
          <w:rFonts w:asciiTheme="majorHAnsi" w:hAnsiTheme="majorHAnsi" w:cstheme="majorHAnsi"/>
        </w:rPr>
        <w:fldChar w:fldCharType="begin" w:fldLock="1"/>
      </w:r>
      <w:r>
        <w:rPr>
          <w:rFonts w:asciiTheme="majorHAnsi" w:hAnsiTheme="majorHAnsi" w:cstheme="majorHAnsi"/>
        </w:rPr>
        <w:instrText>ADDIN CSL_CITATION {"citationItems":[{"id":"ITEM-1","itemData":{"DOI":"10.1016/j.enpol.2021.112550","ISSN":"03014215","abstract":"Do social vulnerabilities and ruling party support shape government responsiveness in times of disasters? The 2017 hurricane María territory-wide power outage, the second longest in world history, is a tragic natural experiment that provides a unique opportunity to examine the determinants of government responsiveness during disaster recovery processes. We use data on power restoration crew deployments (N = 18,614 deployments), a novel measure of government responsiveness, and a new social vulnerability index to assess the determinants of government responsiveness in the wake of disasters. We find that communities with ties to the ruling party elicit greater government responsiveness while socially vulnerable communities are less likely to be prioritized during the disaster relief efforts, controlling for disaster damage as well as logistical, economic, and essential service recovery priorities. Existing power restoration policies place larger burdens on marginalized communities, motivating the need for including power restoration to vulnerable communities among restoration priorities.","author":[{"dropping-particle":"","family":"Tormos-Aponte","given":"Fernando","non-dropping-particle":"","parse-names":false,"suffix":""},{"dropping-particle":"","family":"García-López","given":"Gustavo","non-dropping-particle":"","parse-names":false,"suffix":""},{"dropping-particle":"","family":"Painter","given":"Mary Angelica","non-dropping-particle":"","parse-names":false,"suffix":""}],"container-title":"Energy Policy","id":"ITEM-1","issue":"August","issued":{"date-parts":[["2021"]]},"title":"Energy inequality and clientelism in the wake of disasters: From colorblind to affirmative power restoration","type":"article-journal","volume":"158"},"uris":["http://www.mendeley.com/documents/?uuid=ed4c82a3-a1a0-40d7-a437-a65a1cd4209e","http://www.mendeley.com/documents/?uuid=067aa49c-6a90-4c5c-a741-f01cbabb1891","http://www.mendeley.com/documents/?uuid=e430442b-f045-4d12-98e0-5237526d2d30"]}],"mendeley":{"formattedCitation":"Fernando Tormos-Aponte, Gustavo García-López, and Mary Angelica Painter, ‘Energy Inequality and Clientelism in the Wake of Disasters: From Colorblind to Affirmative Power Restoration’, &lt;i&gt;Energy Policy&lt;/i&gt;, 158.August (2021) &lt;https://doi.org/10.1016/j.enpol.2021.112550&gt;.","plainTextFormattedCitation":"Fernando Tormos-Aponte, Gustavo García-López, and Mary Angelica Painter, ‘Energy Inequality and Clientelism in the Wake of Disasters: From Colorblind to Affirmative Power Restoration’, Energy Policy, 158.August (2021) .","previouslyFormattedCitation":"Fernando Tormos-Aponte, Gustavo García-López, and Mary Angelica Painter, ‘Energy Inequality and Clientelism in the Wake of Disasters: From Colorblind to Affirmative Power Restoration’, &lt;i&gt;Energy Policy&lt;/i&gt;, 158.August (2021) &lt;https://doi.org/10.1016/j.enpol.2021.112550&gt;."},"properties":{"noteIndex":19},"schema":"https://github.com/citation-style-language/schema/raw/master/csl-citation.json"}</w:instrText>
      </w:r>
      <w:r w:rsidRPr="005F7846">
        <w:rPr>
          <w:rFonts w:asciiTheme="majorHAnsi" w:hAnsiTheme="majorHAnsi" w:cstheme="majorHAnsi"/>
        </w:rPr>
        <w:fldChar w:fldCharType="separate"/>
      </w:r>
      <w:r w:rsidRPr="005F7846">
        <w:rPr>
          <w:rFonts w:asciiTheme="majorHAnsi" w:hAnsiTheme="majorHAnsi" w:cstheme="majorHAnsi"/>
          <w:noProof/>
        </w:rPr>
        <w:t xml:space="preserve">Fernando Tormos-Aponte, Gustavo García-López, and Mary Angelica Painter, ‘Energy Inequality and Clientelism in the Wake of Disasters: From Colorblind to Affirmative Power Restoration’, </w:t>
      </w:r>
      <w:r w:rsidRPr="005F7846">
        <w:rPr>
          <w:rFonts w:asciiTheme="majorHAnsi" w:hAnsiTheme="majorHAnsi" w:cstheme="majorHAnsi"/>
          <w:i/>
          <w:noProof/>
        </w:rPr>
        <w:t>Energy Policy</w:t>
      </w:r>
      <w:r w:rsidRPr="005F7846">
        <w:rPr>
          <w:rFonts w:asciiTheme="majorHAnsi" w:hAnsiTheme="majorHAnsi" w:cstheme="majorHAnsi"/>
          <w:noProof/>
        </w:rPr>
        <w:t>, 158.August (2021) &lt;https://doi.org/10.1016/j.enpol.2021.112550&gt;.</w:t>
      </w:r>
      <w:r w:rsidRPr="005F7846">
        <w:rPr>
          <w:rFonts w:asciiTheme="majorHAnsi" w:hAnsiTheme="majorHAnsi" w:cstheme="majorHAnsi"/>
        </w:rPr>
        <w:fldChar w:fldCharType="end"/>
      </w:r>
    </w:p>
  </w:footnote>
  <w:footnote w:id="20">
    <w:p w:rsidR="005F7846" w:rsidRPr="005F7846" w:rsidRDefault="005F7846" w:rsidP="005F7846">
      <w:pPr>
        <w:pStyle w:val="FootnoteText"/>
        <w:ind w:firstLine="284"/>
        <w:jc w:val="both"/>
        <w:rPr>
          <w:rFonts w:asciiTheme="majorHAnsi" w:hAnsiTheme="majorHAnsi" w:cstheme="majorHAnsi"/>
        </w:rPr>
      </w:pPr>
      <w:r w:rsidRPr="005F7846">
        <w:rPr>
          <w:rStyle w:val="FootnoteReference"/>
          <w:rFonts w:asciiTheme="majorHAnsi" w:hAnsiTheme="majorHAnsi" w:cstheme="majorHAnsi"/>
        </w:rPr>
        <w:footnoteRef/>
      </w:r>
      <w:r w:rsidRPr="005F7846">
        <w:rPr>
          <w:rFonts w:asciiTheme="majorHAnsi" w:hAnsiTheme="majorHAnsi" w:cstheme="majorHAnsi"/>
        </w:rPr>
        <w:t xml:space="preserve"> </w:t>
      </w:r>
      <w:r w:rsidRPr="005F7846">
        <w:rPr>
          <w:rFonts w:asciiTheme="majorHAnsi" w:hAnsiTheme="majorHAnsi" w:cstheme="majorHAnsi"/>
        </w:rPr>
        <w:fldChar w:fldCharType="begin" w:fldLock="1"/>
      </w:r>
      <w:r>
        <w:rPr>
          <w:rFonts w:asciiTheme="majorHAnsi" w:hAnsiTheme="majorHAnsi" w:cstheme="majorHAnsi"/>
        </w:rPr>
        <w:instrText>ADDIN CSL_CITATION {"citationItems":[{"id":"ITEM-1","itemData":{"DOI":"https://doi.org/10.20961/bestuur.v10i1.59143","author":[{"dropping-particle":"","family":"Marwan","given":"Awaludin","non-dropping-particle":"","parse-names":false,"suffix":""},{"dropping-particle":"","family":"Bonfigli","given":"Fiammetta","non-dropping-particle":"","parse-names":false,"suffix":""}],"container-title":"Bestuur","id":"ITEM-1","issue":"1","issued":{"date-parts":[["2022"]]},"page":"22-32","title":"Detection of Digital Law Issues and Implication for Good Governance Policy in Indonesia","type":"article-journal","volume":"10"},"uris":["http://www.mendeley.com/documents/?uuid=b5403f46-f763-455f-a3b5-e9e293d2b568","http://www.mendeley.com/documents/?uuid=6fb87420-8b4a-4a96-9594-d26818ec85c4","http://www.mendeley.com/documents/?uuid=89781d55-c7af-4946-a34a-49116a233503"]}],"mendeley":{"formattedCitation":"Awaludin Marwan and Fiammetta Bonfigli, ‘Detection of Digital Law Issues and Implication for Good Governance Policy in Indonesia’, &lt;i&gt;Bestuur&lt;/i&gt;, 10.1 (2022), 22–32 &lt;https://doi.org/https://doi.org/10.20961/bestuur.v10i1.59143&gt;.","plainTextFormattedCitation":"Awaludin Marwan and Fiammetta Bonfigli, ‘Detection of Digital Law Issues and Implication for Good Governance Policy in Indonesia’, Bestuur, 10.1 (2022), 22–32 .","previouslyFormattedCitation":"Awaludin Marwan and Fiammetta Bonfigli, ‘Detection of Digital Law Issues and Implication for Good Governance Policy in Indonesia’, &lt;i&gt;Bestuur&lt;/i&gt;, 10.1 (2022), 22–32 &lt;https://doi.org/https://doi.org/10.20961/bestuur.v10i1.59143&gt;."},"properties":{"noteIndex":20},"schema":"https://github.com/citation-style-language/schema/raw/master/csl-citation.json"}</w:instrText>
      </w:r>
      <w:r w:rsidRPr="005F7846">
        <w:rPr>
          <w:rFonts w:asciiTheme="majorHAnsi" w:hAnsiTheme="majorHAnsi" w:cstheme="majorHAnsi"/>
        </w:rPr>
        <w:fldChar w:fldCharType="separate"/>
      </w:r>
      <w:r w:rsidRPr="005F7846">
        <w:rPr>
          <w:rFonts w:asciiTheme="majorHAnsi" w:hAnsiTheme="majorHAnsi" w:cstheme="majorHAnsi"/>
          <w:noProof/>
        </w:rPr>
        <w:t xml:space="preserve">Awaludin Marwan and Fiammetta Bonfigli, ‘Detection of Digital Law Issues and Implication for Good Governance Policy in Indonesia’, </w:t>
      </w:r>
      <w:r w:rsidRPr="005F7846">
        <w:rPr>
          <w:rFonts w:asciiTheme="majorHAnsi" w:hAnsiTheme="majorHAnsi" w:cstheme="majorHAnsi"/>
          <w:i/>
          <w:noProof/>
        </w:rPr>
        <w:t>Bestuur</w:t>
      </w:r>
      <w:r w:rsidRPr="005F7846">
        <w:rPr>
          <w:rFonts w:asciiTheme="majorHAnsi" w:hAnsiTheme="majorHAnsi" w:cstheme="majorHAnsi"/>
          <w:noProof/>
        </w:rPr>
        <w:t>, 10.1 (2022), 22–32 &lt;https://doi.org/https://doi.org/10.20961/bestuur.v10i1.59143&gt;.</w:t>
      </w:r>
      <w:r w:rsidRPr="005F7846">
        <w:rPr>
          <w:rFonts w:asciiTheme="majorHAnsi" w:hAnsiTheme="majorHAnsi" w:cstheme="majorHAnsi"/>
        </w:rPr>
        <w:fldChar w:fldCharType="end"/>
      </w:r>
    </w:p>
  </w:footnote>
  <w:footnote w:id="21">
    <w:p w:rsidR="005F7846" w:rsidRPr="005F7846" w:rsidRDefault="005F7846" w:rsidP="005F7846">
      <w:pPr>
        <w:pStyle w:val="FootnoteText"/>
        <w:ind w:firstLine="284"/>
        <w:jc w:val="both"/>
        <w:rPr>
          <w:rFonts w:asciiTheme="majorHAnsi" w:hAnsiTheme="majorHAnsi" w:cstheme="majorHAnsi"/>
        </w:rPr>
      </w:pPr>
      <w:r w:rsidRPr="005F7846">
        <w:rPr>
          <w:rStyle w:val="FootnoteReference"/>
          <w:rFonts w:asciiTheme="majorHAnsi" w:hAnsiTheme="majorHAnsi" w:cstheme="majorHAnsi"/>
        </w:rPr>
        <w:footnoteRef/>
      </w:r>
      <w:r w:rsidRPr="005F7846">
        <w:rPr>
          <w:rFonts w:asciiTheme="majorHAnsi" w:hAnsiTheme="majorHAnsi" w:cstheme="majorHAnsi"/>
        </w:rPr>
        <w:t xml:space="preserve"> </w:t>
      </w:r>
      <w:r w:rsidRPr="005F7846">
        <w:rPr>
          <w:rFonts w:asciiTheme="majorHAnsi" w:hAnsiTheme="majorHAnsi" w:cstheme="majorHAnsi"/>
        </w:rPr>
        <w:fldChar w:fldCharType="begin" w:fldLock="1"/>
      </w:r>
      <w:r>
        <w:rPr>
          <w:rFonts w:asciiTheme="majorHAnsi" w:hAnsiTheme="majorHAnsi" w:cstheme="majorHAnsi"/>
        </w:rPr>
        <w:instrText xml:space="preserve">ADDIN CSL_CITATION {"citationItems":[{"id":"ITEM-1","itemData":{"DOI":"10.20957/jkebijakan.v2i2.10989","ISSN":"2355-6226","abstract":"RINGKASAN Kegiatan pertambangan batubara diduga memberikan dampak positif dan negatif terhadap ekonomi, lingkungan dan sosial bagi masyarakat sekitar. Tujuan utama dari penelitian ini adalah untuk menganalisis dampak ekonomi dan dampak lingkungan dari kegiatan pertambangan batubara yang terjadi di lima desa pada Kecamatan Mereubo. Penelitian ini menggunakan metode analisis dampak ekonomi lokal untuk menghitung nilai efek pengganda dari kegiatan pertambangan dan metode valuasi ekonomi untuk mengestimasi nilai kerugian ekonomi masyarakat. Hasil penelitian menunjukkan nilai pengganda (multiplier effect) adalah sebesar 1.14, artinya kegiatan pertambangan batubara telah mampu memberikan dampak ekonomi secara lokal. Sedangkan estimasi nilai kerugian masyarakat akibat pertambangan batubara yang berpengaruh terhadap degradasi lingkungan adalah sebesar Rp. 1.972.833.514 pada tahun 2013. Secara sosial, masyarakat memiliki persepsi yang positif terhadap kehadiran perusahaan pertambangan batubara. Walaupun demikian, kegiatan pertambangan meningkatkan potensi konflik antar masyarakat terkait dengan hak penguasaan lahan dan lowongan pekerjaan. Solusi dari hasil penelitian ini adalah kegiatan pertambangan batubara dapat terus dilanjutkan dengan program ramah lingkungan dan reklamasi lahan tambang sesuai dengan Undang-Undang Nomor 4 tahun 2009, tentang pertambangan mineral dan batubara. Kata Kunci: pertambangan, batubara, dampak,ekonomi, lingkungan, sosial 171 nilai efek pengganda. </w:instrText>
      </w:r>
      <w:r>
        <w:rPr>
          <w:rFonts w:asciiTheme="majorHAnsi" w:hAnsiTheme="majorHAnsi" w:cstheme="majorHAnsi"/>
        </w:rPr>
        <w:instrText> Pelaksanaan kegiatan pertambangan batubara meliputi land clearing, benching system, material handling dan hauling. Hal tersebut memberikan kontribusi negatif terhadap lingkungan dikarenakan mer ubah ekosistem dan b e r ko n t r i b u s i t e r h a d a p p e n c e m a r a n lingkungan. Selain itu, kegiatan pertambangan","author":[{"dropping-particle":"","family":"Fachlevi","given":"Teuku Ade","non-dropping-particle":"","parse-names":false,"suffix":""},{"dropping-particle":"","family":"Putri","given":"Eka Intan Keumala","non-dropping-particle":"","parse-names":false,"suffix":""},{"dropping-particle":"","family":"Simanjuntak","given":"Sahat M.H.","non-dropping-particle":"","parse-names":false,"suffix":""}],"container-title":"RISALAH KEBIJAKAN PERTANIAN DAN LINGKUNGAN: Rumusan Kajian Strategis Bidang Pertanian dan Lingkungan","id":"ITEM-1","issue":"2","issued":{"date-parts":[["2016"]]},"page":"170","title":"Dampak Dan Evaluasi Kebijakan Pertambangan Batubara Di Kecamatan Mereubo","type":"article-journal","volume":"2"},"uris":["http://www.mendeley.com/documents/?uuid=f4ecc618-1399-43c3-8ea9-2e348e86c35b"]}],"mendeley":{"formattedCitation":"Teuku Ade Fachlevi, Eka Intan Keumala Putri, and Sahat M.H. Simanjuntak, ‘Dampak Dan Evaluasi Kebijakan Pertambangan Batubara Di Kecamatan Mereubo’, &lt;i&gt;RISALAH KEBIJAKAN PERTANIAN DAN LINGKUNGAN: Rumusan Kajian Strategis Bidang Pertanian Dan Lingkungan&lt;/i&gt;, 2.2 (2016), 170 &lt;https://doi.org/10.20957/jkebijakan.v2i2.10989&gt;.","plainTextFormattedCitation":"Teuku Ade Fachlevi, Eka Intan Keumala Putri, and Sahat M.H. Simanjuntak, ‘Dampak Dan Evaluasi Kebijakan Pertambangan Batubara Di Kecamatan Mereubo’, RISALAH KEBIJAKAN PERTANIAN DAN LINGKUNGAN: Rumusan Kajian Strategis Bidang Pertanian Dan Lingkungan, 2.2 (2016), 170 .","previouslyFormattedCitation":"Teuku Ade Fachlevi, Eka Intan Keumala Putri, and Sahat M.H. Simanjuntak, ‘Dampak Dan Evaluasi Kebijakan Pertambangan Batubara Di Kecamatan Mereubo’, &lt;i&gt;RISALAH KEBIJAKAN PERTANIAN DAN LINGKUNGAN: Rumusan Kajian Strategis Bidang Pertanian Dan Lingkungan&lt;/i&gt;, 2.2 (2016), 170 &lt;https://doi.org/10.20957/jkebijakan.v2i2.10989&gt;."},"properties":{"noteIndex":21},"schema":"https://github.com/citation-style-language/schema/raw/master/csl-citation.json"}</w:instrText>
      </w:r>
      <w:r w:rsidRPr="005F7846">
        <w:rPr>
          <w:rFonts w:asciiTheme="majorHAnsi" w:hAnsiTheme="majorHAnsi" w:cstheme="majorHAnsi"/>
        </w:rPr>
        <w:fldChar w:fldCharType="separate"/>
      </w:r>
      <w:r w:rsidRPr="005F7846">
        <w:rPr>
          <w:rFonts w:asciiTheme="majorHAnsi" w:hAnsiTheme="majorHAnsi" w:cstheme="majorHAnsi"/>
          <w:noProof/>
        </w:rPr>
        <w:t xml:space="preserve">Teuku Ade Fachlevi, Eka Intan Keumala Putri, and Sahat M.H. Simanjuntak, ‘Dampak Dan Evaluasi Kebijakan Pertambangan Batubara Di Kecamatan Mereubo’, </w:t>
      </w:r>
      <w:r w:rsidRPr="005F7846">
        <w:rPr>
          <w:rFonts w:asciiTheme="majorHAnsi" w:hAnsiTheme="majorHAnsi" w:cstheme="majorHAnsi"/>
          <w:i/>
          <w:noProof/>
        </w:rPr>
        <w:t>RISALAH KEBIJAKAN PERTANIAN DAN LINGKUNGAN: Rumusan Kajian Strategis Bidang Pertanian Dan Lingkungan</w:t>
      </w:r>
      <w:r w:rsidRPr="005F7846">
        <w:rPr>
          <w:rFonts w:asciiTheme="majorHAnsi" w:hAnsiTheme="majorHAnsi" w:cstheme="majorHAnsi"/>
          <w:noProof/>
        </w:rPr>
        <w:t>, 2.2 (2016), 170 &lt;https://doi.org/10.20957/jkebijakan.v2i2.10989&gt;.</w:t>
      </w:r>
      <w:r w:rsidRPr="005F7846">
        <w:rPr>
          <w:rFonts w:asciiTheme="majorHAnsi" w:hAnsiTheme="majorHAnsi" w:cstheme="majorHAnsi"/>
        </w:rPr>
        <w:fldChar w:fldCharType="end"/>
      </w:r>
    </w:p>
  </w:footnote>
  <w:footnote w:id="22">
    <w:p w:rsidR="005F7846" w:rsidRPr="005F7846" w:rsidRDefault="005F7846" w:rsidP="005F7846">
      <w:pPr>
        <w:pStyle w:val="FootnoteText"/>
        <w:ind w:firstLine="284"/>
        <w:jc w:val="both"/>
        <w:rPr>
          <w:rFonts w:asciiTheme="majorHAnsi" w:hAnsiTheme="majorHAnsi" w:cstheme="majorHAnsi"/>
        </w:rPr>
      </w:pPr>
      <w:r w:rsidRPr="005F7846">
        <w:rPr>
          <w:rStyle w:val="FootnoteReference"/>
          <w:rFonts w:asciiTheme="majorHAnsi" w:hAnsiTheme="majorHAnsi" w:cstheme="majorHAnsi"/>
        </w:rPr>
        <w:footnoteRef/>
      </w:r>
      <w:r w:rsidRPr="005F7846">
        <w:rPr>
          <w:rFonts w:asciiTheme="majorHAnsi" w:hAnsiTheme="majorHAnsi" w:cstheme="majorHAnsi"/>
        </w:rPr>
        <w:t xml:space="preserve"> </w:t>
      </w:r>
      <w:r w:rsidRPr="005F7846">
        <w:rPr>
          <w:rFonts w:asciiTheme="majorHAnsi" w:hAnsiTheme="majorHAnsi" w:cstheme="majorHAnsi"/>
        </w:rPr>
        <w:fldChar w:fldCharType="begin" w:fldLock="1"/>
      </w:r>
      <w:r>
        <w:rPr>
          <w:rFonts w:asciiTheme="majorHAnsi" w:hAnsiTheme="majorHAnsi" w:cstheme="majorHAnsi"/>
        </w:rPr>
        <w:instrText>ADDIN CSL_CITATION {"citationItems":[{"id":"ITEM-1","itemData":{"DOI":"10.1016/j.enpol.2021.112566","ISSN":"03014215","abstract":"For the purpose of this research, we use the rolling window method in order to examine the relationship between global geopolitics risks and renewable energy. The results display a two-way causality between geopolitics risks and renewable energy that are spread across various sub-samples. This shows that geopolitical risks play an important role in the advent of renewable energy primarily because of the energy security, rare metal competition, and trade disputes that are put forth, which stimulate the transition to renewable energy. On the other hand, renewable energy has a significant impact on geopolitical risks that are driven by global economic growth, rising fossil fuels prices and technological innovations. The findings also support the classical production model, which reveals that geopolitical risks and renewable energy have a mutual relationship with one another. Further in this regard, renewable energy is capable of accommodating new powers in the international political system. This aspect is more useful for international peace, and may also reduce geopolitical risks. Therefore, the transition to renewable energy is beneficial to the energy supply and security. Therefore, the governments of the world should encourage the private sector to participate in renewable energy projects, by providing special incentives for this purpose.","author":[{"dropping-particle":"","family":"Su","given":"Chi Wei","non-dropping-particle":"","parse-names":false,"suffix":""},{"dropping-particle":"","family":"Khan","given":"Khalid","non-dropping-particle":"","parse-names":false,"suffix":""},{"dropping-particle":"","family":"Umar","given":"Muhammad","non-dropping-particle":"","parse-names":false,"suffix":""},{"dropping-particle":"","family":"Zhang","given":"Weike","non-dropping-particle":"","parse-names":false,"suffix":""}],"container-title":"Energy Policy","id":"ITEM-1","issue":"May","issued":{"date-parts":[["2021"]]},"page":"112566","publisher":"Elsevier Ltd","title":"Does renewable energy redefine geopolitical risks?","type":"article-journal","volume":"158"},"uris":["http://www.mendeley.com/documents/?uuid=29b9df8d-34da-4baa-a801-0a39484ca7af","http://www.mendeley.com/documents/?uuid=f46669e7-8540-43a2-874a-13655113a46a","http://www.mendeley.com/documents/?uuid=9e615ad4-a504-4f8a-b07b-dfd1752dab8d"]}],"mendeley":{"formattedCitation":"Chi Wei Su and others, ‘Does Renewable Energy Redefine Geopolitical Risks?’, &lt;i&gt;Energy Policy&lt;/i&gt;, 158.May (2021), 112566 &lt;https://doi.org/10.1016/j.enpol.2021.112566&gt;.","plainTextFormattedCitation":"Chi Wei Su and others, ‘Does Renewable Energy Redefine Geopolitical Risks?’, Energy Policy, 158.May (2021), 112566 .","previouslyFormattedCitation":"Chi Wei Su and others, ‘Does Renewable Energy Redefine Geopolitical Risks?’, &lt;i&gt;Energy Policy&lt;/i&gt;, 158.May (2021), 112566 &lt;https://doi.org/10.1016/j.enpol.2021.112566&gt;."},"properties":{"noteIndex":22},"schema":"https://github.com/citation-style-language/schema/raw/master/csl-citation.json"}</w:instrText>
      </w:r>
      <w:r w:rsidRPr="005F7846">
        <w:rPr>
          <w:rFonts w:asciiTheme="majorHAnsi" w:hAnsiTheme="majorHAnsi" w:cstheme="majorHAnsi"/>
        </w:rPr>
        <w:fldChar w:fldCharType="separate"/>
      </w:r>
      <w:r w:rsidRPr="005F7846">
        <w:rPr>
          <w:rFonts w:asciiTheme="majorHAnsi" w:hAnsiTheme="majorHAnsi" w:cstheme="majorHAnsi"/>
          <w:noProof/>
        </w:rPr>
        <w:t xml:space="preserve">Chi Wei Su and others, ‘Does Renewable Energy Redefine Geopolitical Risks?’, </w:t>
      </w:r>
      <w:r w:rsidRPr="005F7846">
        <w:rPr>
          <w:rFonts w:asciiTheme="majorHAnsi" w:hAnsiTheme="majorHAnsi" w:cstheme="majorHAnsi"/>
          <w:i/>
          <w:noProof/>
        </w:rPr>
        <w:t>Energy Policy</w:t>
      </w:r>
      <w:r w:rsidRPr="005F7846">
        <w:rPr>
          <w:rFonts w:asciiTheme="majorHAnsi" w:hAnsiTheme="majorHAnsi" w:cstheme="majorHAnsi"/>
          <w:noProof/>
        </w:rPr>
        <w:t>, 158.May (2021), 112566 &lt;https://doi.org/10.1016/j.enpol.2021.112566&gt;.</w:t>
      </w:r>
      <w:r w:rsidRPr="005F7846">
        <w:rPr>
          <w:rFonts w:asciiTheme="majorHAnsi" w:hAnsiTheme="majorHAnsi" w:cstheme="majorHAnsi"/>
        </w:rPr>
        <w:fldChar w:fldCharType="end"/>
      </w:r>
    </w:p>
  </w:footnote>
  <w:footnote w:id="23">
    <w:p w:rsidR="005F7846" w:rsidRPr="005F7846" w:rsidRDefault="005F7846" w:rsidP="005F7846">
      <w:pPr>
        <w:pStyle w:val="FootnoteText"/>
        <w:ind w:firstLine="284"/>
        <w:jc w:val="both"/>
        <w:rPr>
          <w:rFonts w:asciiTheme="majorHAnsi" w:hAnsiTheme="majorHAnsi" w:cstheme="majorHAnsi"/>
        </w:rPr>
      </w:pPr>
      <w:r w:rsidRPr="005F7846">
        <w:rPr>
          <w:rStyle w:val="FootnoteReference"/>
          <w:rFonts w:asciiTheme="majorHAnsi" w:hAnsiTheme="majorHAnsi" w:cstheme="majorHAnsi"/>
        </w:rPr>
        <w:footnoteRef/>
      </w:r>
      <w:r w:rsidRPr="005F7846">
        <w:rPr>
          <w:rFonts w:asciiTheme="majorHAnsi" w:hAnsiTheme="majorHAnsi" w:cstheme="majorHAnsi"/>
        </w:rPr>
        <w:t xml:space="preserve"> </w:t>
      </w:r>
      <w:r w:rsidRPr="005F7846">
        <w:rPr>
          <w:rFonts w:asciiTheme="majorHAnsi" w:hAnsiTheme="majorHAnsi" w:cstheme="majorHAnsi"/>
        </w:rPr>
        <w:fldChar w:fldCharType="begin" w:fldLock="1"/>
      </w:r>
      <w:r>
        <w:rPr>
          <w:rFonts w:asciiTheme="majorHAnsi" w:hAnsiTheme="majorHAnsi" w:cstheme="majorHAnsi"/>
        </w:rPr>
        <w:instrText>ADDIN CSL_CITATION {"citationItems":[{"id":"ITEM-1","itemData":{"DOI":"10.33019/society.v4i1.36","ISSN":"23386932","abstract":"Kerusakan akibat penambangan timah di Pulau Bangka semakin meningkat terutama sejak berkembangnya penambangan inkonvensional. Dampak kegiatan penambangan timah, baik tambang konvensional maupun inkonvensional terhadap lingkungan fisik berupa bertambahnya lahan kritis akibat berkurangnya hutan, rusaknya lahan pertanian dan kebun. Upaya rehabilitasi lahan bekas tambang ditinjau dari aspek teknis adalah upaya untuk mengembalikan kondisi tanah agar stabil dan tidak rawan erosi. Dari aspek ekonomis dan estetika lahan, kondisi tanah diperbaiki agar nilai/potensi ekonomisnya dapat dikembalikan sekurang-kurangnya seperti keadaan semula. Dari aspek ekosistem, upaya pengembalian kondisi ekosistem ke ekosistem semula. Dalam hal ini revegetasi adalah upaya yang dapat dinilai mencakup kepada kepentingan aspek-aspek tersebut, dimana reklamasi hampir selalu identik dengan revegetasi.","author":[{"dropping-particle":"","family":"Harahap","given":"Fitri Ramdhani","non-dropping-particle":"","parse-names":false,"suffix":""}],"container-title":"Society","id":"ITEM-1","issue":"1","issued":{"date-parts":[["2016"]]},"page":"61-69","title":"Restorasi Lahan Pasca Tambang Timah Di Pulau Bangka","type":"article-journal","volume":"4"},"uris":["http://www.mendeley.com/documents/?uuid=6b756816-6768-4481-8166-8df3d683c441","http://www.mendeley.com/documents/?uuid=a96f4db4-2d57-4026-ab9c-fb64274f3975","http://www.mendeley.com/documents/?uuid=05702c6b-9d8b-4352-aba1-7dfc2e2fa79d"]}],"mendeley":{"formattedCitation":"Fitri Ramdhani Harahap, ‘Restorasi Lahan Pasca Tambang Timah Di Pulau Bangka’, &lt;i&gt;Society&lt;/i&gt;, 4.1 (2016), 61–69 &lt;https://doi.org/10.33019/society.v4i1.36&gt;.","plainTextFormattedCitation":"Fitri Ramdhani Harahap, ‘Restorasi Lahan Pasca Tambang Timah Di Pulau Bangka’, Society, 4.1 (2016), 61–69 .","previouslyFormattedCitation":"Fitri Ramdhani Harahap, ‘Restorasi Lahan Pasca Tambang Timah Di Pulau Bangka’, &lt;i&gt;Society&lt;/i&gt;, 4.1 (2016), 61–69 &lt;https://doi.org/10.33019/society.v4i1.36&gt;."},"properties":{"noteIndex":23},"schema":"https://github.com/citation-style-language/schema/raw/master/csl-citation.json"}</w:instrText>
      </w:r>
      <w:r w:rsidRPr="005F7846">
        <w:rPr>
          <w:rFonts w:asciiTheme="majorHAnsi" w:hAnsiTheme="majorHAnsi" w:cstheme="majorHAnsi"/>
        </w:rPr>
        <w:fldChar w:fldCharType="separate"/>
      </w:r>
      <w:r w:rsidRPr="005F7846">
        <w:rPr>
          <w:rFonts w:asciiTheme="majorHAnsi" w:hAnsiTheme="majorHAnsi" w:cstheme="majorHAnsi"/>
          <w:noProof/>
        </w:rPr>
        <w:t xml:space="preserve">Fitri Ramdhani Harahap, ‘Restorasi Lahan Pasca Tambang Timah Di Pulau Bangka’, </w:t>
      </w:r>
      <w:r w:rsidRPr="005F7846">
        <w:rPr>
          <w:rFonts w:asciiTheme="majorHAnsi" w:hAnsiTheme="majorHAnsi" w:cstheme="majorHAnsi"/>
          <w:i/>
          <w:noProof/>
        </w:rPr>
        <w:t>Society</w:t>
      </w:r>
      <w:r w:rsidRPr="005F7846">
        <w:rPr>
          <w:rFonts w:asciiTheme="majorHAnsi" w:hAnsiTheme="majorHAnsi" w:cstheme="majorHAnsi"/>
          <w:noProof/>
        </w:rPr>
        <w:t>, 4.1 (2016), 61–69 &lt;https://doi.org/10.33019/society.v4i1.36&gt;.</w:t>
      </w:r>
      <w:r w:rsidRPr="005F7846">
        <w:rPr>
          <w:rFonts w:asciiTheme="majorHAnsi" w:hAnsiTheme="majorHAnsi" w:cstheme="majorHAnsi"/>
        </w:rPr>
        <w:fldChar w:fldCharType="end"/>
      </w:r>
    </w:p>
  </w:footnote>
  <w:footnote w:id="24">
    <w:p w:rsidR="005F7846" w:rsidRPr="005F7846" w:rsidRDefault="005F7846" w:rsidP="005F7846">
      <w:pPr>
        <w:pStyle w:val="FootnoteText"/>
        <w:ind w:firstLine="284"/>
        <w:jc w:val="both"/>
        <w:rPr>
          <w:rFonts w:asciiTheme="majorHAnsi" w:hAnsiTheme="majorHAnsi" w:cstheme="majorHAnsi"/>
        </w:rPr>
      </w:pPr>
      <w:r w:rsidRPr="005F7846">
        <w:rPr>
          <w:rStyle w:val="FootnoteReference"/>
          <w:rFonts w:asciiTheme="majorHAnsi" w:hAnsiTheme="majorHAnsi" w:cstheme="majorHAnsi"/>
        </w:rPr>
        <w:footnoteRef/>
      </w:r>
      <w:r w:rsidRPr="005F7846">
        <w:rPr>
          <w:rFonts w:asciiTheme="majorHAnsi" w:hAnsiTheme="majorHAnsi" w:cstheme="majorHAnsi"/>
        </w:rPr>
        <w:t xml:space="preserve"> </w:t>
      </w:r>
      <w:r w:rsidRPr="005F7846">
        <w:rPr>
          <w:rFonts w:asciiTheme="majorHAnsi" w:hAnsiTheme="majorHAnsi" w:cstheme="majorHAnsi"/>
        </w:rPr>
        <w:fldChar w:fldCharType="begin" w:fldLock="1"/>
      </w:r>
      <w:r>
        <w:rPr>
          <w:rFonts w:asciiTheme="majorHAnsi" w:hAnsiTheme="majorHAnsi" w:cstheme="majorHAnsi"/>
        </w:rPr>
        <w:instrText>ADDIN CSL_CITATION {"citationItems":[{"id":"ITEM-1","itemData":{"DOI":"10.24967/ekombis.v6i1.1117","ISSN":"2527-4198","abstract":"Penelitian ini bertujuan untuk mengulas kewajiban lingkungan atas reklamasi dan pasca tambang di Indonesia. Metode yang digunakan dalam penelitian ini adalah metode kualitatif dengan analisis isi (content analysis). Penelitian ini menggunakan laporan keuangan perusahaan di sektor pertambangan tahun 2015 sampai dengan tahun 2018 sebagai dasar dalam melakukan analisis tentang pengakuan, pengukuran, dan penyajian kewajiban lingkungan atas reklamasi dan pascatambang oleh perusahaan di sektor pertambangan. Berdasarkan kriteria yang digunakan dalam penelitian ini, terdapat tujuh perusahaan terpilih yaitu ADRO, BUMI, INCO, PSAB, MEDC, BIPI, dan CTTH. Penelitian ini menyimpulkan bahwa terdapat lima perusahaan yang telah mengakui dan mengukur kewajiban lingkungan atas reklamasi dan pascatambang sesuai dengan PSAK 57 (2014) secara berurutan mulai tahun 2015 sampai dengan tahun 2018. Terdapat lima perusahaan di sektor pertambangan yang telah menyajikan biaya-biaya terkait kewajiban lingkungan atas reklamasi dan pascatambang pada laporan keuangan tahunan dan catatan atas laporan keuangan (CaLK) konsolidasian perusahaan secara berurutan mulai tahun 2015 sampai dengan tahun 2018. Berdasarkan penelitian ini, manajemen perlu menyajikan alokasi biaya tersebut dalam akun khusus agar pembaca laporan keuangan perusahaan dapat mengetahui secara langsung besarnya biaya yang telah dialokasikan untuk kewajiban lingkungan terkait kegiatan reklamasi dan pascatambang.","author":[{"dropping-particle":"","family":"Rizki","given":"Afidah Nur","non-dropping-particle":"","parse-names":false,"suffix":""},{"dropping-particle":"","family":"Firmansyah","given":"Amrie","non-dropping-particle":"","parse-names":false,"suffix":""}],"container-title":"Ekombis Sains: Jurnal Ekonomi, Keuangan dan Bisnis","id":"ITEM-1","issue":"1","issued":{"date-parts":[["2021"]]},"page":"37-54","title":"Kewajiban Lingkungan Atas Reklamasi Dan Pasca Tambang Pada Perusahaan Sektor Pertambangan di Indonesia","type":"article-journal","volume":"6"},"uris":["http://www.mendeley.com/documents/?uuid=bba49bfa-3940-4e28-9942-281f090dadeb","http://www.mendeley.com/documents/?uuid=98b695cd-fffe-430f-a1e7-47618da3e18c","http://www.mendeley.com/documents/?uuid=08612dd3-2fc1-4845-825c-bda49b6f7ffc"]}],"mendeley":{"formattedCitation":"Afidah Nur Rizki and Amrie Firmansyah, ‘Kewajiban Lingkungan Atas Reklamasi Dan Pasca Tambang Pada Perusahaan Sektor Pertambangan Di Indonesia’, &lt;i&gt;Ekombis Sains: Jurnal Ekonomi, Keuangan Dan Bisnis&lt;/i&gt;, 6.1 (2021), 37–54 &lt;https://doi.org/10.24967/ekombis.v6i1.1117&gt;.","plainTextFormattedCitation":"Afidah Nur Rizki and Amrie Firmansyah, ‘Kewajiban Lingkungan Atas Reklamasi Dan Pasca Tambang Pada Perusahaan Sektor Pertambangan Di Indonesia’, Ekombis Sains: Jurnal Ekonomi, Keuangan Dan Bisnis, 6.1 (2021), 37–54 .","previouslyFormattedCitation":"Afidah Nur Rizki and Amrie Firmansyah, ‘Kewajiban Lingkungan Atas Reklamasi Dan Pasca Tambang Pada Perusahaan Sektor Pertambangan Di Indonesia’, &lt;i&gt;Ekombis Sains: Jurnal Ekonomi, Keuangan Dan Bisnis&lt;/i&gt;, 6.1 (2021), 37–54 &lt;https://doi.org/10.24967/ekombis.v6i1.1117&gt;."},"properties":{"noteIndex":24},"schema":"https://github.com/citation-style-language/schema/raw/master/csl-citation.json"}</w:instrText>
      </w:r>
      <w:r w:rsidRPr="005F7846">
        <w:rPr>
          <w:rFonts w:asciiTheme="majorHAnsi" w:hAnsiTheme="majorHAnsi" w:cstheme="majorHAnsi"/>
        </w:rPr>
        <w:fldChar w:fldCharType="separate"/>
      </w:r>
      <w:r w:rsidRPr="005F7846">
        <w:rPr>
          <w:rFonts w:asciiTheme="majorHAnsi" w:hAnsiTheme="majorHAnsi" w:cstheme="majorHAnsi"/>
          <w:noProof/>
        </w:rPr>
        <w:t xml:space="preserve">Afidah Nur Rizki and Amrie Firmansyah, ‘Kewajiban Lingkungan Atas Reklamasi Dan Pasca Tambang Pada Perusahaan Sektor Pertambangan Di Indonesia’, </w:t>
      </w:r>
      <w:r w:rsidRPr="005F7846">
        <w:rPr>
          <w:rFonts w:asciiTheme="majorHAnsi" w:hAnsiTheme="majorHAnsi" w:cstheme="majorHAnsi"/>
          <w:i/>
          <w:noProof/>
        </w:rPr>
        <w:t>Ekombis Sains: Jurnal Ekonomi, Keuangan Dan Bisnis</w:t>
      </w:r>
      <w:r w:rsidRPr="005F7846">
        <w:rPr>
          <w:rFonts w:asciiTheme="majorHAnsi" w:hAnsiTheme="majorHAnsi" w:cstheme="majorHAnsi"/>
          <w:noProof/>
        </w:rPr>
        <w:t>, 6.1 (2021), 37–54 &lt;https://doi.org/10.24967/ekombis.v6i1.1117&gt;.</w:t>
      </w:r>
      <w:r w:rsidRPr="005F7846">
        <w:rPr>
          <w:rFonts w:asciiTheme="majorHAnsi" w:hAnsiTheme="majorHAnsi" w:cstheme="majorHAnsi"/>
        </w:rPr>
        <w:fldChar w:fldCharType="end"/>
      </w:r>
    </w:p>
  </w:footnote>
  <w:footnote w:id="25">
    <w:p w:rsidR="005F7846" w:rsidRPr="005F7846" w:rsidRDefault="005F7846" w:rsidP="005F7846">
      <w:pPr>
        <w:pStyle w:val="FootnoteText"/>
        <w:ind w:firstLine="284"/>
        <w:jc w:val="both"/>
        <w:rPr>
          <w:rFonts w:asciiTheme="majorHAnsi" w:hAnsiTheme="majorHAnsi" w:cstheme="majorHAnsi"/>
        </w:rPr>
      </w:pPr>
      <w:r w:rsidRPr="005F7846">
        <w:rPr>
          <w:rStyle w:val="FootnoteReference"/>
          <w:rFonts w:asciiTheme="majorHAnsi" w:hAnsiTheme="majorHAnsi" w:cstheme="majorHAnsi"/>
        </w:rPr>
        <w:footnoteRef/>
      </w:r>
      <w:r w:rsidRPr="005F7846">
        <w:rPr>
          <w:rFonts w:asciiTheme="majorHAnsi" w:hAnsiTheme="majorHAnsi" w:cstheme="majorHAnsi"/>
        </w:rPr>
        <w:t xml:space="preserve"> </w:t>
      </w:r>
      <w:r w:rsidRPr="005F7846">
        <w:rPr>
          <w:rFonts w:asciiTheme="majorHAnsi" w:hAnsiTheme="majorHAnsi" w:cstheme="majorHAnsi"/>
        </w:rPr>
        <w:fldChar w:fldCharType="begin" w:fldLock="1"/>
      </w:r>
      <w:r>
        <w:rPr>
          <w:rFonts w:asciiTheme="majorHAnsi" w:hAnsiTheme="majorHAnsi" w:cstheme="majorHAnsi"/>
        </w:rPr>
        <w:instrText>ADDIN CSL_CITATION {"citationItems":[{"id":"ITEM-1","itemData":{"DOI":"10.29303/jatiswara.v34i2.200","ISSN":"0853-392X","abstract":"Penelitian ini dilatar belakangi oleh  dilema penataan sistem peraturan perundang-undangan yang obesitas dan over regulated ditengah pembangunan ekonomi yang dilakukan pemerintah. Tujuan penelitian ini adalah memecahkan permasalahan obesitas peraturan perundang-undangan demi keberlanjutan ekonomi bangsa. Jenis penelitian ini adalah penelitian hukum normatif. Penelitian hukum normatif lebih mengutamakan studi pustaka (library research) dengan fokus kajiannya asas-asas hukum, sistematika hukum, sinkronisasi hukum dan sejarah hukum, penelitian ini juga bersifat deskriptif. Penelitian ini berkesimpulan bahwa, pertama, penataan sistem peraturan  perundang-undangan dalam mendukung pembangunan ekonomi nasional terhalang oleh kualitas, inkonsistensi, disharmoni dan over regulasi yang tidak diiringi oleh ketiadaan sistem yang dapat merespon dengan cepat kondisi tersebut. Kedua,cara mengatasi permasalahan tersebut adalah menggunakan reformasi regulasi dengan cara mengidentifikasi kriteria legalitas, kebutuhan dan situasional. Menginventarisasi regulasi dengan penguatan pengawasan kuantitas regulasi, pembuatan database peraturan perundang-undangan nasional dan penghapusan hierarki peraturan perundang-undangan.","author":[{"dropping-particle":"","family":"Luhukay","given":"Roni Sulistyanto","non-dropping-particle":"","parse-names":false,"suffix":""},{"dropping-particle":"","family":"Jaelani","given":"Abdul Kadir","non-dropping-particle":"","parse-names":false,"suffix":""}],"container-title":"Jatiswara","id":"ITEM-1","issue":"2","issued":{"date-parts":[["2019"]]},"page":"155","title":"Penataan Sistem Peraturan Perundang-Undangan Dalam Mendukung Penguatan Konstitusi Ekonomi Indonesia","type":"article-journal","volume":"34"},"uris":["http://www.mendeley.com/documents/?uuid=bb17693b-c511-430a-8152-5b8d12d93152","http://www.mendeley.com/documents/?uuid=8b57a301-8b4b-4622-bc0b-f1f65ea388c1","http://www.mendeley.com/documents/?uuid=54eda17d-de3b-43cb-982c-0194f07de863","http://www.mendeley.com/documents/?uuid=12d63669-3165-464f-a93e-e9eefa36a6c7"]}],"mendeley":{"formattedCitation":"Roni Sulistyanto Luhukay and Abdul Kadir Jaelani, ‘Penataan Sistem Peraturan Perundang-Undangan Dalam Mendukung Penguatan Konstitusi Ekonomi Indonesia’, &lt;i&gt;Jatiswara&lt;/i&gt;, 34.2 (2019), 155 &lt;https://doi.org/10.29303/jatiswara.v34i2.200&gt;.","plainTextFormattedCitation":"Roni Sulistyanto Luhukay and Abdul Kadir Jaelani, ‘Penataan Sistem Peraturan Perundang-Undangan Dalam Mendukung Penguatan Konstitusi Ekonomi Indonesia’, Jatiswara, 34.2 (2019), 155 .","previouslyFormattedCitation":"Roni Sulistyanto Luhukay and Abdul Kadir Jaelani, ‘Penataan Sistem Peraturan Perundang-Undangan Dalam Mendukung Penguatan Konstitusi Ekonomi Indonesia’, &lt;i&gt;Jatiswara&lt;/i&gt;, 34.2 (2019), 155 &lt;https://doi.org/10.29303/jatiswara.v34i2.200&gt;."},"properties":{"noteIndex":25},"schema":"https://github.com/citation-style-language/schema/raw/master/csl-citation.json"}</w:instrText>
      </w:r>
      <w:r w:rsidRPr="005F7846">
        <w:rPr>
          <w:rFonts w:asciiTheme="majorHAnsi" w:hAnsiTheme="majorHAnsi" w:cstheme="majorHAnsi"/>
        </w:rPr>
        <w:fldChar w:fldCharType="separate"/>
      </w:r>
      <w:r w:rsidRPr="005F7846">
        <w:rPr>
          <w:rFonts w:asciiTheme="majorHAnsi" w:hAnsiTheme="majorHAnsi" w:cstheme="majorHAnsi"/>
          <w:noProof/>
        </w:rPr>
        <w:t xml:space="preserve">Roni Sulistyanto Luhukay and Abdul Kadir Jaelani, ‘Penataan Sistem Peraturan Perundang-Undangan Dalam Mendukung Penguatan Konstitusi Ekonomi Indonesia’, </w:t>
      </w:r>
      <w:r w:rsidRPr="005F7846">
        <w:rPr>
          <w:rFonts w:asciiTheme="majorHAnsi" w:hAnsiTheme="majorHAnsi" w:cstheme="majorHAnsi"/>
          <w:i/>
          <w:noProof/>
        </w:rPr>
        <w:t>Jatiswara</w:t>
      </w:r>
      <w:r w:rsidRPr="005F7846">
        <w:rPr>
          <w:rFonts w:asciiTheme="majorHAnsi" w:hAnsiTheme="majorHAnsi" w:cstheme="majorHAnsi"/>
          <w:noProof/>
        </w:rPr>
        <w:t>, 34.2 (2019), 155 &lt;https://doi.org/10.29303/jatiswara.v34i2.200&gt;.</w:t>
      </w:r>
      <w:r w:rsidRPr="005F7846">
        <w:rPr>
          <w:rFonts w:asciiTheme="majorHAnsi" w:hAnsiTheme="majorHAnsi" w:cstheme="majorHAnsi"/>
        </w:rPr>
        <w:fldChar w:fldCharType="end"/>
      </w:r>
    </w:p>
  </w:footnote>
  <w:footnote w:id="26">
    <w:p w:rsidR="005F7846" w:rsidRPr="005F7846" w:rsidRDefault="005F7846" w:rsidP="005F7846">
      <w:pPr>
        <w:pStyle w:val="FootnoteText"/>
        <w:ind w:firstLine="284"/>
        <w:jc w:val="both"/>
        <w:rPr>
          <w:rFonts w:asciiTheme="majorHAnsi" w:hAnsiTheme="majorHAnsi" w:cstheme="majorHAnsi"/>
        </w:rPr>
      </w:pPr>
      <w:r w:rsidRPr="005F7846">
        <w:rPr>
          <w:rStyle w:val="FootnoteReference"/>
          <w:rFonts w:asciiTheme="majorHAnsi" w:hAnsiTheme="majorHAnsi" w:cstheme="majorHAnsi"/>
        </w:rPr>
        <w:footnoteRef/>
      </w:r>
      <w:r w:rsidRPr="005F7846">
        <w:rPr>
          <w:rFonts w:asciiTheme="majorHAnsi" w:hAnsiTheme="majorHAnsi" w:cstheme="majorHAnsi"/>
        </w:rPr>
        <w:t xml:space="preserve"> </w:t>
      </w:r>
      <w:r w:rsidRPr="005F7846">
        <w:rPr>
          <w:rFonts w:asciiTheme="majorHAnsi" w:hAnsiTheme="majorHAnsi" w:cstheme="majorHAnsi"/>
        </w:rPr>
        <w:fldChar w:fldCharType="begin" w:fldLock="1"/>
      </w:r>
      <w:r>
        <w:rPr>
          <w:rFonts w:asciiTheme="majorHAnsi" w:hAnsiTheme="majorHAnsi" w:cstheme="majorHAnsi"/>
        </w:rPr>
        <w:instrText>ADDIN CSL_CITATION {"citationItems":[{"id":"ITEM-1","itemData":{"DOI":"10.1016/j.marpol.2019.04.007","ISSN":"0308597X","abstract":"The International Seabed Authority is responsible for providing effective protection for the marine environment from the harmful effects of activities in the Area under Article 145 of UNCLOS. To meet this challenge, it must determine the relevant environmental governance principles applicable to each stage of an exploration and exploitation activity and how they can be operationalized in practical terms. This article discusses some key principles of international environmental law and management which are potentially relevant to the exploitation process and in particular the approval of a plan of work for exploitation activities. It also examines the potential legal thresholds for approval or denial of a proposed plan of work for exploitation activity in the Area.","author":[{"dropping-particle":"","family":"Warner","given":"Robin","non-dropping-particle":"","parse-names":false,"suffix":""}],"container-title":"Marine Policy","id":"ITEM-1","issue":"May 2018","issued":{"date-parts":[["2020"]]},"page":"103503","publisher":"Elsevier Ltd","title":"International environmental law principles relevant to exploitation activity in the Area","type":"article-journal","volume":"114"},"uris":["http://www.mendeley.com/documents/?uuid=eded6666-0144-4f4b-a3b1-46be91ff6ad6","http://www.mendeley.com/documents/?uuid=b012e970-5754-455c-afdc-036f89bcb903","http://www.mendeley.com/documents/?uuid=c162c2f5-dbc5-4c1d-92bf-883e86c1346b","http://www.mendeley.com/documents/?uuid=d46c3cb8-f1a4-4517-952d-4d95bfdb966d"]}],"mendeley":{"formattedCitation":"Robin Warner, ‘International Environmental Law Principles Relevant to Exploitation Activity in the Area’, &lt;i&gt;Marine Policy&lt;/i&gt;, 114.May 2018 (2020), 103503 &lt;https://doi.org/10.1016/j.marpol.2019.04.007&gt;.","plainTextFormattedCitation":"Robin Warner, ‘International Environmental Law Principles Relevant to Exploitation Activity in the Area’, Marine Policy, 114.May 2018 (2020), 103503 .","previouslyFormattedCitation":"Robin Warner, ‘International Environmental Law Principles Relevant to Exploitation Activity in the Area’, &lt;i&gt;Marine Policy&lt;/i&gt;, 114.May 2018 (2020), 103503 &lt;https://doi.org/10.1016/j.marpol.2019.04.007&gt;."},"properties":{"noteIndex":26},"schema":"https://github.com/citation-style-language/schema/raw/master/csl-citation.json"}</w:instrText>
      </w:r>
      <w:r w:rsidRPr="005F7846">
        <w:rPr>
          <w:rFonts w:asciiTheme="majorHAnsi" w:hAnsiTheme="majorHAnsi" w:cstheme="majorHAnsi"/>
        </w:rPr>
        <w:fldChar w:fldCharType="separate"/>
      </w:r>
      <w:r w:rsidRPr="005F7846">
        <w:rPr>
          <w:rFonts w:asciiTheme="majorHAnsi" w:hAnsiTheme="majorHAnsi" w:cstheme="majorHAnsi"/>
          <w:noProof/>
        </w:rPr>
        <w:t xml:space="preserve">Robin Warner, ‘International Environmental Law Principles Relevant to Exploitation Activity in the Area’, </w:t>
      </w:r>
      <w:r w:rsidRPr="005F7846">
        <w:rPr>
          <w:rFonts w:asciiTheme="majorHAnsi" w:hAnsiTheme="majorHAnsi" w:cstheme="majorHAnsi"/>
          <w:i/>
          <w:noProof/>
        </w:rPr>
        <w:t>Marine Policy</w:t>
      </w:r>
      <w:r w:rsidRPr="005F7846">
        <w:rPr>
          <w:rFonts w:asciiTheme="majorHAnsi" w:hAnsiTheme="majorHAnsi" w:cstheme="majorHAnsi"/>
          <w:noProof/>
        </w:rPr>
        <w:t>, 114.May 2018 (2020), 103503 &lt;https://doi.org/10.1016/j.marpol.2019.04.007&gt;.</w:t>
      </w:r>
      <w:r w:rsidRPr="005F7846">
        <w:rPr>
          <w:rFonts w:asciiTheme="majorHAnsi" w:hAnsiTheme="majorHAnsi" w:cstheme="majorHAnsi"/>
        </w:rPr>
        <w:fldChar w:fldCharType="end"/>
      </w:r>
    </w:p>
  </w:footnote>
  <w:footnote w:id="27">
    <w:p w:rsidR="005F7846" w:rsidRPr="005F7846" w:rsidRDefault="005F7846" w:rsidP="005F7846">
      <w:pPr>
        <w:pStyle w:val="FootnoteText"/>
        <w:ind w:firstLine="284"/>
        <w:jc w:val="both"/>
        <w:rPr>
          <w:rFonts w:asciiTheme="majorHAnsi" w:hAnsiTheme="majorHAnsi" w:cstheme="majorHAnsi"/>
        </w:rPr>
      </w:pPr>
      <w:r w:rsidRPr="005F7846">
        <w:rPr>
          <w:rStyle w:val="FootnoteReference"/>
          <w:rFonts w:asciiTheme="majorHAnsi" w:hAnsiTheme="majorHAnsi" w:cstheme="majorHAnsi"/>
        </w:rPr>
        <w:footnoteRef/>
      </w:r>
      <w:r w:rsidRPr="005F7846">
        <w:rPr>
          <w:rFonts w:asciiTheme="majorHAnsi" w:hAnsiTheme="majorHAnsi" w:cstheme="majorHAnsi"/>
        </w:rPr>
        <w:t xml:space="preserve"> </w:t>
      </w:r>
      <w:r w:rsidRPr="005F7846">
        <w:rPr>
          <w:rFonts w:asciiTheme="majorHAnsi" w:hAnsiTheme="majorHAnsi" w:cstheme="majorHAnsi"/>
        </w:rPr>
        <w:fldChar w:fldCharType="begin" w:fldLock="1"/>
      </w:r>
      <w:r>
        <w:rPr>
          <w:rFonts w:asciiTheme="majorHAnsi" w:hAnsiTheme="majorHAnsi" w:cstheme="majorHAnsi"/>
        </w:rPr>
        <w:instrText>ADDIN CSL_CITATION {"citationItems":[{"id":"ITEM-1","itemData":{"author":[{"dropping-particle":"","family":"Jaelani","given":"Abdul Kadir","non-dropping-particle":"","parse-names":false,"suffix":""},{"dropping-particle":"","family":"Ayu","given":"I Gusti","non-dropping-particle":"","parse-names":false,"suffix":""},{"dropping-particle":"","family":"Rachmi","given":"Ketut","non-dropping-particle":"","parse-names":false,"suffix":""},{"dropping-particle":"","family":"Karjoko","given":"Lego","non-dropping-particle":"","parse-names":false,"suffix":""},{"dropping-particle":"","family":"Barkhuizen","given":"Jaco","non-dropping-particle":"","parse-names":false,"suffix":""}],"id":"ITEM-1","issue":"Iceep","issued":{"date-parts":[["2021"]]},"page":"1-4","title":"Restoring What ’ s Environmental About Environmental Law in the Indonesian Supreme Court","type":"article-journal","volume":"583"},"uris":["http://www.mendeley.com/documents/?uuid=d542225f-237f-4ce3-b43e-4f385efa27ce","http://www.mendeley.com/documents/?uuid=b0f6e0b8-c73a-49eb-8081-195818c168ef","http://www.mendeley.com/documents/?uuid=ff3b51e7-b5cd-42d6-b387-8031753a7d9d","http://www.mendeley.com/documents/?uuid=12d4cd50-8cc8-4102-b4c1-203b201add27"]}],"mendeley":{"formattedCitation":"Abdul Kadir Jaelani and others, ‘Restoring What ’ s Environmental About Environmental Law in the Indonesian Supreme Court’, 583.Iceep (2021), 1–4.","plainTextFormattedCitation":"Abdul Kadir Jaelani and others, ‘Restoring What ’ s Environmental About Environmental Law in the Indonesian Supreme Court’, 583.Iceep (2021), 1–4.","previouslyFormattedCitation":"Abdul Kadir Jaelani and others, ‘Restoring What ’ s Environmental About Environmental Law in the Indonesian Supreme Court’, 583.Iceep (2021), 1–4."},"properties":{"noteIndex":27},"schema":"https://github.com/citation-style-language/schema/raw/master/csl-citation.json"}</w:instrText>
      </w:r>
      <w:r w:rsidRPr="005F7846">
        <w:rPr>
          <w:rFonts w:asciiTheme="majorHAnsi" w:hAnsiTheme="majorHAnsi" w:cstheme="majorHAnsi"/>
        </w:rPr>
        <w:fldChar w:fldCharType="separate"/>
      </w:r>
      <w:r w:rsidRPr="005F7846">
        <w:rPr>
          <w:rFonts w:asciiTheme="majorHAnsi" w:hAnsiTheme="majorHAnsi" w:cstheme="majorHAnsi"/>
          <w:noProof/>
        </w:rPr>
        <w:t>Abdul Kadir Jaelani and others, ‘Restoring What ’ s Environmental About Environmental Law in the Indonesian Supreme Court’, 583.Iceep (2021), 1–4.</w:t>
      </w:r>
      <w:r w:rsidRPr="005F7846">
        <w:rPr>
          <w:rFonts w:asciiTheme="majorHAnsi" w:hAnsiTheme="majorHAnsi" w:cstheme="majorHAnsi"/>
        </w:rPr>
        <w:fldChar w:fldCharType="end"/>
      </w:r>
    </w:p>
  </w:footnote>
  <w:footnote w:id="28">
    <w:p w:rsidR="005F7846" w:rsidRPr="005F7846" w:rsidRDefault="005F7846" w:rsidP="005F7846">
      <w:pPr>
        <w:pStyle w:val="FootnoteText"/>
        <w:ind w:firstLine="284"/>
        <w:jc w:val="both"/>
        <w:rPr>
          <w:rFonts w:asciiTheme="majorHAnsi" w:hAnsiTheme="majorHAnsi" w:cstheme="majorHAnsi"/>
        </w:rPr>
      </w:pPr>
      <w:r w:rsidRPr="005F7846">
        <w:rPr>
          <w:rStyle w:val="FootnoteReference"/>
          <w:rFonts w:asciiTheme="majorHAnsi" w:hAnsiTheme="majorHAnsi" w:cstheme="majorHAnsi"/>
        </w:rPr>
        <w:footnoteRef/>
      </w:r>
      <w:r w:rsidRPr="005F7846">
        <w:rPr>
          <w:rFonts w:asciiTheme="majorHAnsi" w:hAnsiTheme="majorHAnsi" w:cstheme="majorHAnsi"/>
        </w:rPr>
        <w:t xml:space="preserve"> </w:t>
      </w:r>
      <w:r w:rsidRPr="005F7846">
        <w:rPr>
          <w:rFonts w:asciiTheme="majorHAnsi" w:hAnsiTheme="majorHAnsi" w:cstheme="majorHAnsi"/>
        </w:rPr>
        <w:fldChar w:fldCharType="begin" w:fldLock="1"/>
      </w:r>
      <w:r>
        <w:rPr>
          <w:rFonts w:asciiTheme="majorHAnsi" w:hAnsiTheme="majorHAnsi" w:cstheme="majorHAnsi"/>
        </w:rPr>
        <w:instrText>ADDIN CSL_CITATION {"citationItems":[{"id":"ITEM-1","itemData":{"DOI":"10.5281/zenodo.1683714","abstract":"Environmental health is a right of every citizen of Indonesia. Article 28H Paragraph (1) states that \"everyone has the right to live physical and spiritual prosperity, reside, and get a good environment and healthy and receive medical care\". Environmental problems are increasingly large, widespread and serious. Like a snowball rolling, getting bigger and bigger. Persolannya not only be local or trans, but regional, national, trans-national, and global. The impacts that occurred on the environment is not only related to one or two aspects alone, but crochet hooks in accordance with the nature of the environment that has a multi-chain relationships that influence each other subsystems. If one aspect of the environment affected by the problem, then the various other aspects will experience the impact or effect anyway, so it really needed a healthy environment within the concept of environmental laws. Keywords","author":[{"dropping-particle":"","family":"Laurensius Arliman S","given":"","non-dropping-particle":"","parse-names":false,"suffix":""}],"container-title":"Jurnal Ilmu Hukum","id":"ITEM-1","issue":"1","issued":{"date-parts":[["2018"]]},"page":"761-770","title":"Eksistensi Hukum Lingkungan Dalam Membangun Lingkungan Sehat Di Indonesia","type":"article-journal","volume":"5"},"uris":["http://www.mendeley.com/documents/?uuid=f07842f3-6d70-411e-b661-d505ec7f15cf","http://www.mendeley.com/documents/?uuid=e4ca7cbb-1208-4715-a2de-d8f7e2a37279","http://www.mendeley.com/documents/?uuid=abf8a6b5-b865-404c-a0df-005a0b718ac9","http://www.mendeley.com/documents/?uuid=7270c87b-78f0-46f0-8027-4b2d4bcb7983"]}],"mendeley":{"formattedCitation":"Laurensius Arliman S, ‘Eksistensi Hukum Lingkungan Dalam Membangun Lingkungan Sehat Di Indonesia’, &lt;i&gt;Jurnal Ilmu Hukum&lt;/i&gt;, 5.1 (2018), 761–70 &lt;https://doi.org/10.5281/zenodo.1683714&gt;.","plainTextFormattedCitation":"Laurensius Arliman S, ‘Eksistensi Hukum Lingkungan Dalam Membangun Lingkungan Sehat Di Indonesia’, Jurnal Ilmu Hukum, 5.1 (2018), 761–70 .","previouslyFormattedCitation":"Laurensius Arliman S, ‘Eksistensi Hukum Lingkungan Dalam Membangun Lingkungan Sehat Di Indonesia’, &lt;i&gt;Jurnal Ilmu Hukum&lt;/i&gt;, 5.1 (2018), 761–70 &lt;https://doi.org/10.5281/zenodo.1683714&gt;."},"properties":{"noteIndex":28},"schema":"https://github.com/citation-style-language/schema/raw/master/csl-citation.json"}</w:instrText>
      </w:r>
      <w:r w:rsidRPr="005F7846">
        <w:rPr>
          <w:rFonts w:asciiTheme="majorHAnsi" w:hAnsiTheme="majorHAnsi" w:cstheme="majorHAnsi"/>
        </w:rPr>
        <w:fldChar w:fldCharType="separate"/>
      </w:r>
      <w:r w:rsidRPr="005F7846">
        <w:rPr>
          <w:rFonts w:asciiTheme="majorHAnsi" w:hAnsiTheme="majorHAnsi" w:cstheme="majorHAnsi"/>
          <w:noProof/>
        </w:rPr>
        <w:t xml:space="preserve">Laurensius Arliman S, ‘Eksistensi Hukum Lingkungan Dalam Membangun Lingkungan Sehat Di Indonesia’, </w:t>
      </w:r>
      <w:r w:rsidRPr="005F7846">
        <w:rPr>
          <w:rFonts w:asciiTheme="majorHAnsi" w:hAnsiTheme="majorHAnsi" w:cstheme="majorHAnsi"/>
          <w:i/>
          <w:noProof/>
        </w:rPr>
        <w:t>Jurnal Ilmu Hukum</w:t>
      </w:r>
      <w:r w:rsidRPr="005F7846">
        <w:rPr>
          <w:rFonts w:asciiTheme="majorHAnsi" w:hAnsiTheme="majorHAnsi" w:cstheme="majorHAnsi"/>
          <w:noProof/>
        </w:rPr>
        <w:t>, 5.1 (2018), 761–70 &lt;https://doi.org/10.5281/zenodo.1683714&gt;.</w:t>
      </w:r>
      <w:r w:rsidRPr="005F7846">
        <w:rPr>
          <w:rFonts w:asciiTheme="majorHAnsi" w:hAnsiTheme="majorHAnsi" w:cstheme="majorHAnsi"/>
        </w:rPr>
        <w:fldChar w:fldCharType="end"/>
      </w:r>
    </w:p>
  </w:footnote>
  <w:footnote w:id="29">
    <w:p w:rsidR="005F7846" w:rsidRPr="005F7846" w:rsidRDefault="005F7846" w:rsidP="005F7846">
      <w:pPr>
        <w:pStyle w:val="FootnoteText"/>
        <w:ind w:firstLine="284"/>
        <w:jc w:val="both"/>
        <w:rPr>
          <w:rFonts w:asciiTheme="majorHAnsi" w:hAnsiTheme="majorHAnsi" w:cstheme="majorHAnsi"/>
        </w:rPr>
      </w:pPr>
      <w:r w:rsidRPr="005F7846">
        <w:rPr>
          <w:rStyle w:val="FootnoteReference"/>
          <w:rFonts w:asciiTheme="majorHAnsi" w:hAnsiTheme="majorHAnsi" w:cstheme="majorHAnsi"/>
        </w:rPr>
        <w:footnoteRef/>
      </w:r>
      <w:r w:rsidRPr="005F7846">
        <w:rPr>
          <w:rFonts w:asciiTheme="majorHAnsi" w:hAnsiTheme="majorHAnsi" w:cstheme="majorHAnsi"/>
        </w:rPr>
        <w:t xml:space="preserve"> </w:t>
      </w:r>
      <w:r w:rsidRPr="005F7846">
        <w:rPr>
          <w:rFonts w:asciiTheme="majorHAnsi" w:hAnsiTheme="majorHAnsi" w:cstheme="majorHAnsi"/>
        </w:rPr>
        <w:fldChar w:fldCharType="begin" w:fldLock="1"/>
      </w:r>
      <w:r>
        <w:rPr>
          <w:rFonts w:asciiTheme="majorHAnsi" w:hAnsiTheme="majorHAnsi" w:cstheme="majorHAnsi"/>
        </w:rPr>
        <w:instrText>ADDIN CSL_CITATION {"citationItems":[{"id":"ITEM-1","itemData":{"id":"ITEM-1","issued":{"date-parts":[["0"]]},"title":"Undang-Undang Nomor 32 Tahun 2009 Tentang Perlindungan dan Pengelolaan Lingkungan Hidup","type":"legislation"},"uris":["http://www.mendeley.com/documents/?uuid=794ce6c7-b001-4d5f-a8c7-84a0e299ab26","http://www.mendeley.com/documents/?uuid=a8ada364-1b0a-40a6-9453-c14f17ddc83a","http://www.mendeley.com/documents/?uuid=63bfbf16-02df-46a7-a84f-180cf0b34c48","http://www.mendeley.com/documents/?uuid=cc912216-87af-40ae-beb6-f25660e4eb13"]}],"mendeley":{"formattedCitation":"&lt;i&gt;Undang-Undang Nomor 32 Tahun 2009 Tentang Perlindungan Dan Pengelolaan Lingkungan Hidup&lt;/i&gt;.","plainTextFormattedCitation":"Undang-Undang Nomor 32 Tahun 2009 Tentang Perlindungan Dan Pengelolaan Lingkungan Hidup.","previouslyFormattedCitation":"&lt;i&gt;Undang-Undang Nomor 32 Tahun 2009 Tentang Perlindungan Dan Pengelolaan Lingkungan Hidup&lt;/i&gt;."},"properties":{"noteIndex":29},"schema":"https://github.com/citation-style-language/schema/raw/master/csl-citation.json"}</w:instrText>
      </w:r>
      <w:r w:rsidRPr="005F7846">
        <w:rPr>
          <w:rFonts w:asciiTheme="majorHAnsi" w:hAnsiTheme="majorHAnsi" w:cstheme="majorHAnsi"/>
        </w:rPr>
        <w:fldChar w:fldCharType="separate"/>
      </w:r>
      <w:r w:rsidRPr="005F7846">
        <w:rPr>
          <w:rFonts w:asciiTheme="majorHAnsi" w:hAnsiTheme="majorHAnsi" w:cstheme="majorHAnsi"/>
          <w:i/>
          <w:noProof/>
        </w:rPr>
        <w:t>Undang-Undang Nomor 32 Tahun 2009 Tentang Perlindungan Dan Pengelolaan Lingkungan Hidup</w:t>
      </w:r>
      <w:r w:rsidRPr="005F7846">
        <w:rPr>
          <w:rFonts w:asciiTheme="majorHAnsi" w:hAnsiTheme="majorHAnsi" w:cstheme="majorHAnsi"/>
          <w:noProof/>
        </w:rPr>
        <w:t>.</w:t>
      </w:r>
      <w:r w:rsidRPr="005F7846">
        <w:rPr>
          <w:rFonts w:asciiTheme="majorHAnsi" w:hAnsiTheme="majorHAnsi" w:cstheme="majorHAnsi"/>
        </w:rPr>
        <w:fldChar w:fldCharType="end"/>
      </w:r>
    </w:p>
  </w:footnote>
  <w:footnote w:id="30">
    <w:p w:rsidR="005F7846" w:rsidRPr="005F7846" w:rsidRDefault="005F7846" w:rsidP="005F7846">
      <w:pPr>
        <w:pStyle w:val="FootnoteText"/>
        <w:ind w:firstLine="284"/>
        <w:jc w:val="both"/>
        <w:rPr>
          <w:rFonts w:asciiTheme="majorHAnsi" w:hAnsiTheme="majorHAnsi" w:cstheme="majorHAnsi"/>
        </w:rPr>
      </w:pPr>
      <w:r w:rsidRPr="005F7846">
        <w:rPr>
          <w:rStyle w:val="FootnoteReference"/>
          <w:rFonts w:asciiTheme="majorHAnsi" w:hAnsiTheme="majorHAnsi" w:cstheme="majorHAnsi"/>
        </w:rPr>
        <w:footnoteRef/>
      </w:r>
      <w:r w:rsidRPr="005F7846">
        <w:rPr>
          <w:rFonts w:asciiTheme="majorHAnsi" w:hAnsiTheme="majorHAnsi" w:cstheme="majorHAnsi"/>
        </w:rPr>
        <w:t xml:space="preserve"> </w:t>
      </w:r>
      <w:r w:rsidRPr="005F7846">
        <w:rPr>
          <w:rFonts w:asciiTheme="majorHAnsi" w:hAnsiTheme="majorHAnsi" w:cstheme="majorHAnsi"/>
        </w:rPr>
        <w:fldChar w:fldCharType="begin" w:fldLock="1"/>
      </w:r>
      <w:r>
        <w:rPr>
          <w:rFonts w:asciiTheme="majorHAnsi" w:hAnsiTheme="majorHAnsi" w:cstheme="majorHAnsi"/>
        </w:rPr>
        <w:instrText>ADDIN CSL_CITATION {"citationItems":[{"id":"ITEM-1","itemData":{"abstract":"Terlaksananya pembangunan berkelanjutan dan terkendalinya pemanfaatan sumber daya alam adalah tujuan pengelolaan lingkungan. Masalah pengelolaan lingkungan dapat dianggap sebagai salah satu penyebab utama rusaknya lingkungan. Muara dari semua masalah lingkungan adalah pembangunan yang dilakukan tanpa memperhatikan faktor keseimbangan lingkungan yang pada gilirannya akan menimbulkan kerusakan dan pencemaran lingkungan hidup. Tindakan hukum yang diberikan terhadap pelaku pencemaran dan perusakan lingkungan terdiri dari aspek administrasi, aspek perdata, aspek pidana. Dalam penegakan hukum itu sendiri perlu didukung pleh beberapa factor yaitu sarana hukum, aparat penegak hukum, fasilitas dan sarana, perizinan, sistem Amdal, kesadaran hukum masyarakat terhadap lingkungan.","author":[{"dropping-particle":"","family":"Herlina","given":"Nina","non-dropping-particle":"","parse-names":false,"suffix":""}],"container-title":"Jurnal Ilmiah Galuh Justisi","id":"ITEM-1","issue":"2","issued":{"date-parts":[["2015"]]},"page":"1-16","title":"PERMASALAHAN LINGKUNGAN HIDUP DAN PENEGAKAN HUKUM LINGKUNGAN DI INDONESIA Oleh : Nina Herlina, S.H., M.H. *) ABSTRAK","type":"article-journal","volume":"3"},"uris":["http://www.mendeley.com/documents/?uuid=c400af86-365a-4573-b8c7-d5ec8570cd6d","http://www.mendeley.com/documents/?uuid=fdf46f07-8819-432b-b108-1e972be5a059","http://www.mendeley.com/documents/?uuid=6235ff9f-80eb-48fc-9a77-a53e6fce7a1b","http://www.mendeley.com/documents/?uuid=1d4fb54f-d31a-4524-8048-5b4ba89b4956"]}],"mendeley":{"formattedCitation":"Nina Herlina, ‘PERMASALAHAN LINGKUNGAN HIDUP DAN PENEGAKAN HUKUM LINGKUNGAN DI INDONESIA Oleh : Nina Herlina, S.H., M.H. *) ABSTRAK’, &lt;i&gt;Jurnal Ilmiah Galuh Justisi&lt;/i&gt;, 3.2 (2015), 1–16.","plainTextFormattedCitation":"Nina Herlina, ‘PERMASALAHAN LINGKUNGAN HIDUP DAN PENEGAKAN HUKUM LINGKUNGAN DI INDONESIA Oleh : Nina Herlina, S.H., M.H. *) ABSTRAK’, Jurnal Ilmiah Galuh Justisi, 3.2 (2015), 1–16.","previouslyFormattedCitation":"Nina Herlina, ‘PERMASALAHAN LINGKUNGAN HIDUP DAN PENEGAKAN HUKUM LINGKUNGAN DI INDONESIA Oleh : Nina Herlina, S.H., M.H. *) ABSTRAK’, &lt;i&gt;Jurnal Ilmiah Galuh Justisi&lt;/i&gt;, 3.2 (2015), 1–16."},"properties":{"noteIndex":30},"schema":"https://github.com/citation-style-language/schema/raw/master/csl-citation.json"}</w:instrText>
      </w:r>
      <w:r w:rsidRPr="005F7846">
        <w:rPr>
          <w:rFonts w:asciiTheme="majorHAnsi" w:hAnsiTheme="majorHAnsi" w:cstheme="majorHAnsi"/>
        </w:rPr>
        <w:fldChar w:fldCharType="separate"/>
      </w:r>
      <w:r w:rsidRPr="005F7846">
        <w:rPr>
          <w:rFonts w:asciiTheme="majorHAnsi" w:hAnsiTheme="majorHAnsi" w:cstheme="majorHAnsi"/>
          <w:noProof/>
        </w:rPr>
        <w:t xml:space="preserve">Nina Herlina, ‘PERMASALAHAN LINGKUNGAN HIDUP DAN PENEGAKAN HUKUM LINGKUNGAN DI INDONESIA Oleh : Nina Herlina, S.H., M.H. *) ABSTRAK’, </w:t>
      </w:r>
      <w:r w:rsidRPr="005F7846">
        <w:rPr>
          <w:rFonts w:asciiTheme="majorHAnsi" w:hAnsiTheme="majorHAnsi" w:cstheme="majorHAnsi"/>
          <w:i/>
          <w:noProof/>
        </w:rPr>
        <w:t>Jurnal Ilmiah Galuh Justisi</w:t>
      </w:r>
      <w:r w:rsidRPr="005F7846">
        <w:rPr>
          <w:rFonts w:asciiTheme="majorHAnsi" w:hAnsiTheme="majorHAnsi" w:cstheme="majorHAnsi"/>
          <w:noProof/>
        </w:rPr>
        <w:t>, 3.2 (2015), 1–16.</w:t>
      </w:r>
      <w:r w:rsidRPr="005F7846">
        <w:rPr>
          <w:rFonts w:asciiTheme="majorHAnsi" w:hAnsiTheme="majorHAnsi" w:cstheme="majorHAnsi"/>
        </w:rPr>
        <w:fldChar w:fldCharType="end"/>
      </w:r>
    </w:p>
  </w:footnote>
  <w:footnote w:id="31">
    <w:p w:rsidR="005F7846" w:rsidRPr="005F7846" w:rsidRDefault="005F7846" w:rsidP="005F7846">
      <w:pPr>
        <w:pStyle w:val="FootnoteText"/>
        <w:ind w:firstLine="284"/>
        <w:jc w:val="both"/>
        <w:rPr>
          <w:rFonts w:asciiTheme="majorHAnsi" w:hAnsiTheme="majorHAnsi" w:cstheme="majorHAnsi"/>
        </w:rPr>
      </w:pPr>
      <w:r w:rsidRPr="005F7846">
        <w:rPr>
          <w:rStyle w:val="FootnoteReference"/>
          <w:rFonts w:asciiTheme="majorHAnsi" w:hAnsiTheme="majorHAnsi" w:cstheme="majorHAnsi"/>
        </w:rPr>
        <w:footnoteRef/>
      </w:r>
      <w:r w:rsidRPr="005F7846">
        <w:rPr>
          <w:rFonts w:asciiTheme="majorHAnsi" w:hAnsiTheme="majorHAnsi" w:cstheme="majorHAnsi"/>
        </w:rPr>
        <w:t xml:space="preserve"> </w:t>
      </w:r>
      <w:r w:rsidRPr="005F7846">
        <w:rPr>
          <w:rFonts w:asciiTheme="majorHAnsi" w:hAnsiTheme="majorHAnsi" w:cstheme="majorHAnsi"/>
        </w:rPr>
        <w:fldChar w:fldCharType="begin" w:fldLock="1"/>
      </w:r>
      <w:r>
        <w:rPr>
          <w:rFonts w:asciiTheme="majorHAnsi" w:hAnsiTheme="majorHAnsi" w:cstheme="majorHAnsi"/>
        </w:rPr>
        <w:instrText>ADDIN CSL_CITATION {"citationItems":[{"id":"ITEM-1","itemData":{"DOI":"10.20885/iustum.vol27.iss3.art7","ISSN":"08548498","author":[{"dropping-particle":"","family":"Nugroho","given":"Wahyu","non-dropping-particle":"","parse-names":false,"suffix":""}],"container-title":"Jurnal Hukum Ius Quia Iustum","id":"ITEM-1","issue":"3","issued":{"date-parts":[["2020","9"]]},"title":"Persoalan Hukum Penyelesaian Hak atas Tanah dan Lingkungan Berdasarkan Perubahan Undang-Undang Minerba","type":"article-journal","volume":"27"},"uris":["http://www.mendeley.com/documents/?uuid=35ae041c-c6c5-481c-9749-b738adf16fd4","http://www.mendeley.com/documents/?uuid=2c5fee42-57ba-4f91-aaf0-6ec232040569"]}],"mendeley":{"formattedCitation":"Wahyu Nugroho, ‘Persoalan Hukum Penyelesaian Hak Atas Tanah Dan Lingkungan Berdasarkan Perubahan Undang-Undang Minerba’, &lt;i&gt;Jurnal Hukum Ius Quia Iustum&lt;/i&gt;, 27.3 (2020) &lt;https://doi.org/10.20885/iustum.vol27.iss3.art7&gt;.","plainTextFormattedCitation":"Wahyu Nugroho, ‘Persoalan Hukum Penyelesaian Hak Atas Tanah Dan Lingkungan Berdasarkan Perubahan Undang-Undang Minerba’, Jurnal Hukum Ius Quia Iustum, 27.3 (2020) .","previouslyFormattedCitation":"Wahyu Nugroho, ‘Persoalan Hukum Penyelesaian Hak Atas Tanah Dan Lingkungan Berdasarkan Perubahan Undang-Undang Minerba’, &lt;i&gt;Jurnal Hukum Ius Quia Iustum&lt;/i&gt;, 27.3 (2020) &lt;https://doi.org/10.20885/iustum.vol27.iss3.art7&gt;."},"properties":{"noteIndex":31},"schema":"https://github.com/citation-style-language/schema/raw/master/csl-citation.json"}</w:instrText>
      </w:r>
      <w:r w:rsidRPr="005F7846">
        <w:rPr>
          <w:rFonts w:asciiTheme="majorHAnsi" w:hAnsiTheme="majorHAnsi" w:cstheme="majorHAnsi"/>
        </w:rPr>
        <w:fldChar w:fldCharType="separate"/>
      </w:r>
      <w:r w:rsidRPr="005F7846">
        <w:rPr>
          <w:rFonts w:asciiTheme="majorHAnsi" w:hAnsiTheme="majorHAnsi" w:cstheme="majorHAnsi"/>
          <w:noProof/>
        </w:rPr>
        <w:t xml:space="preserve">Wahyu Nugroho, ‘Persoalan Hukum Penyelesaian Hak Atas Tanah Dan Lingkungan Berdasarkan Perubahan Undang-Undang Minerba’, </w:t>
      </w:r>
      <w:r w:rsidRPr="005F7846">
        <w:rPr>
          <w:rFonts w:asciiTheme="majorHAnsi" w:hAnsiTheme="majorHAnsi" w:cstheme="majorHAnsi"/>
          <w:i/>
          <w:noProof/>
        </w:rPr>
        <w:t>Jurnal Hukum Ius Quia Iustum</w:t>
      </w:r>
      <w:r w:rsidRPr="005F7846">
        <w:rPr>
          <w:rFonts w:asciiTheme="majorHAnsi" w:hAnsiTheme="majorHAnsi" w:cstheme="majorHAnsi"/>
          <w:noProof/>
        </w:rPr>
        <w:t>, 27.3 (2020) &lt;https://doi.org/10.20885/iustum.vol27.iss3.art7&gt;.</w:t>
      </w:r>
      <w:r w:rsidRPr="005F7846">
        <w:rPr>
          <w:rFonts w:asciiTheme="majorHAnsi" w:hAnsiTheme="majorHAnsi" w:cstheme="majorHAnsi"/>
        </w:rPr>
        <w:fldChar w:fldCharType="end"/>
      </w:r>
    </w:p>
  </w:footnote>
  <w:footnote w:id="32">
    <w:p w:rsidR="005F7846" w:rsidRPr="005F7846" w:rsidRDefault="005F7846" w:rsidP="005F7846">
      <w:pPr>
        <w:pStyle w:val="FootnoteText"/>
        <w:ind w:firstLine="284"/>
        <w:jc w:val="both"/>
        <w:rPr>
          <w:rFonts w:asciiTheme="majorHAnsi" w:hAnsiTheme="majorHAnsi" w:cstheme="majorHAnsi"/>
        </w:rPr>
      </w:pPr>
      <w:r w:rsidRPr="005F7846">
        <w:rPr>
          <w:rStyle w:val="FootnoteReference"/>
          <w:rFonts w:asciiTheme="majorHAnsi" w:hAnsiTheme="majorHAnsi" w:cstheme="majorHAnsi"/>
        </w:rPr>
        <w:footnoteRef/>
      </w:r>
      <w:r w:rsidRPr="005F7846">
        <w:rPr>
          <w:rFonts w:asciiTheme="majorHAnsi" w:hAnsiTheme="majorHAnsi" w:cstheme="majorHAnsi"/>
        </w:rPr>
        <w:t xml:space="preserve"> </w:t>
      </w:r>
      <w:r w:rsidRPr="005F7846">
        <w:rPr>
          <w:rFonts w:asciiTheme="majorHAnsi" w:hAnsiTheme="majorHAnsi" w:cstheme="majorHAnsi"/>
        </w:rPr>
        <w:fldChar w:fldCharType="begin" w:fldLock="1"/>
      </w:r>
      <w:r>
        <w:rPr>
          <w:rFonts w:asciiTheme="majorHAnsi" w:hAnsiTheme="majorHAnsi" w:cstheme="majorHAnsi"/>
        </w:rPr>
        <w:instrText>ADDIN CSL_CITATION {"citationItems":[{"id":"ITEM-1","itemData":{"DOI":"http://dx.doi.org/10.33331/rechtsvinding.v5i3.152","abstract":"Abstrak Pertambangan tanpa izin (PETI) merupakan perbuatan pidana sebagaimana diatur dalam Pasal 158 dan Pasal 160 UU Minerba. Namun, penegakan hukum terhadap PETI menjadi dilema bagi aparat penegak hukum karena eksistensi PETI terkait dengan permasalahan sosial dan ekonomi masyarakat miskin yang berada disekitar wilayah pertambangan. Bahkan 77% (tujuh puluh tujuh persen) penambang PETI mengalami peningkatan kesejahteraan akibat kegiatan PETI. Tulisan ini akan menganalisis faktor penyebab terjadinya PETI, dampak yang ditimbulkan, dan solusi kebijakan penegakan hukum PETI. Metode penelitian yaitu metode sosio legal research. Adapun jawaban dari permasalahan di atas, yaitu, pertama, faktor penyebab PETI, antara lain, faktor masalah regulasi, faktor kapasitas birokrasi perizinan, faktor pembinaan dan pengawasan yang normatif, faktor kendala penegakan hukum, dan faktor sosial ekonomi. Dampak dari PETI, antara lain adalah dampak kerusakan lingkungan hidup, dampak penerimaan negara, dan dampak konflik sosial. Kebijakan penegakan hukumnya, yaitu penerapan kebijakan utilitarianisme dan kebijakan pemidanaan sebagai ultimum remedium. Di bagian akhir artikel terdapat saran agar aparat penegak hukum harus mempertimbangkan penegakan hukum non-penal terhadap PETI dan pemerintah harus melakukan pembinaan dan pengawasan agar PETI dapat menjadi usaha yang sah. Kata Kunci: ekonomi, penegakan hukum, PETI Abstract Illegal mining (PETI) is a criminal offense under Article 158 and Article 160 of the Mining Law. However, law enforcement against illegal mining is a dilemma for law enforcement officers because the existence of illegal mining associated with impoverished communities' social and economic problems around the mining area. Even the 77% (seventy seven percent) of illegal miners have increased prosperity as a result of illegal mining activities. This paper will conduct a study regarding the causes of PETI, the impact of PETI, and the solution of policy enforcement for PETI. The research method is the method of socio-legal research. As for the answer to the problems above, namely, first, the causes of illegal mining, among others, the regulatory issues factor; capacity of bureaucratic licensing factor; normative guidance and supervision factor; problem of law enforcement factor; and socioeconomic factor. The impact of illegal mining, among others, the impact of environmental degradation; the impact of state revenues; the impact of social conflict. The law enforcement p…","author":[{"dropping-particle":"","family":"Redi","given":"Ahmad","non-dropping-particle":"","parse-names":false,"suffix":""}],"container-title":"Rechts Vinding","id":"ITEM-1","issue":"3","issued":{"date-parts":[["2016"]]},"page":"399-417","title":"DILEMA PENEGAKAN HUKUM PENAMBANGAN MINERAL DAN BATUBARA TANPA IZIN PADA PERTAMBANGAN SKALA KECIL (Dilemma of Law Enforcement in Small Scale Illegal Mining)","type":"article-journal","volume":"5"},"uris":["http://www.mendeley.com/documents/?uuid=357a962c-793e-496d-b3f1-252ea5dffd6a","http://www.mendeley.com/documents/?uuid=b0c14bb1-1680-4bd2-9950-0b66e7910d2b"]}],"mendeley":{"formattedCitation":"Ahmad Redi, ‘DILEMA PENEGAKAN HUKUM PENAMBANGAN MINERAL DAN BATUBARA TANPA IZIN PADA PERTAMBANGAN SKALA KECIL (Dilemma of Law Enforcement in Small Scale Illegal Mining)’, &lt;i&gt;Rechts Vinding&lt;/i&gt;, 5.3 (2016), 399–417 &lt;https://doi.org/http://dx.doi.org/10.33331/rechtsvinding.v5i3.152&gt;.","plainTextFormattedCitation":"Ahmad Redi, ‘DILEMA PENEGAKAN HUKUM PENAMBANGAN MINERAL DAN BATUBARA TANPA IZIN PADA PERTAMBANGAN SKALA KECIL (Dilemma of Law Enforcement in Small Scale Illegal Mining)’, Rechts Vinding, 5.3 (2016), 399–417 .","previouslyFormattedCitation":"Ahmad Redi, ‘DILEMA PENEGAKAN HUKUM PENAMBANGAN MINERAL DAN BATUBARA TANPA IZIN PADA PERTAMBANGAN SKALA KECIL (Dilemma of Law Enforcement in Small Scale Illegal Mining)’, &lt;i&gt;Rechts Vinding&lt;/i&gt;, 5.3 (2016), 399–417 &lt;https://doi.org/http://dx.doi.org/10.33331/rechtsvinding.v5i3.152&gt;."},"properties":{"noteIndex":32},"schema":"https://github.com/citation-style-language/schema/raw/master/csl-citation.json"}</w:instrText>
      </w:r>
      <w:r w:rsidRPr="005F7846">
        <w:rPr>
          <w:rFonts w:asciiTheme="majorHAnsi" w:hAnsiTheme="majorHAnsi" w:cstheme="majorHAnsi"/>
        </w:rPr>
        <w:fldChar w:fldCharType="separate"/>
      </w:r>
      <w:r w:rsidRPr="005F7846">
        <w:rPr>
          <w:rFonts w:asciiTheme="majorHAnsi" w:hAnsiTheme="majorHAnsi" w:cstheme="majorHAnsi"/>
          <w:noProof/>
        </w:rPr>
        <w:t xml:space="preserve">Ahmad Redi, ‘DILEMA PENEGAKAN HUKUM PENAMBANGAN MINERAL DAN BATUBARA TANPA IZIN PADA PERTAMBANGAN SKALA KECIL (Dilemma of Law Enforcement in Small Scale Illegal Mining)’, </w:t>
      </w:r>
      <w:r w:rsidRPr="005F7846">
        <w:rPr>
          <w:rFonts w:asciiTheme="majorHAnsi" w:hAnsiTheme="majorHAnsi" w:cstheme="majorHAnsi"/>
          <w:i/>
          <w:noProof/>
        </w:rPr>
        <w:t>Rechts Vinding</w:t>
      </w:r>
      <w:r w:rsidRPr="005F7846">
        <w:rPr>
          <w:rFonts w:asciiTheme="majorHAnsi" w:hAnsiTheme="majorHAnsi" w:cstheme="majorHAnsi"/>
          <w:noProof/>
        </w:rPr>
        <w:t>, 5.3 (2016), 399–417 &lt;https://doi.org/http://dx.doi.org/10.33331/rechtsvinding.v5i3.152&gt;.</w:t>
      </w:r>
      <w:r w:rsidRPr="005F7846">
        <w:rPr>
          <w:rFonts w:asciiTheme="majorHAnsi" w:hAnsiTheme="majorHAnsi" w:cstheme="majorHAnsi"/>
        </w:rPr>
        <w:fldChar w:fldCharType="end"/>
      </w:r>
    </w:p>
  </w:footnote>
  <w:footnote w:id="33">
    <w:p w:rsidR="005F7846" w:rsidRPr="005F7846" w:rsidRDefault="005F7846" w:rsidP="005F7846">
      <w:pPr>
        <w:pStyle w:val="FootnoteText"/>
        <w:ind w:firstLine="284"/>
        <w:jc w:val="both"/>
        <w:rPr>
          <w:rFonts w:asciiTheme="majorHAnsi" w:hAnsiTheme="majorHAnsi" w:cstheme="majorHAnsi"/>
        </w:rPr>
      </w:pPr>
      <w:r w:rsidRPr="005F7846">
        <w:rPr>
          <w:rStyle w:val="FootnoteReference"/>
          <w:rFonts w:asciiTheme="majorHAnsi" w:hAnsiTheme="majorHAnsi" w:cstheme="majorHAnsi"/>
        </w:rPr>
        <w:footnoteRef/>
      </w:r>
      <w:r w:rsidRPr="005F7846">
        <w:rPr>
          <w:rFonts w:asciiTheme="majorHAnsi" w:hAnsiTheme="majorHAnsi" w:cstheme="majorHAnsi"/>
        </w:rPr>
        <w:t xml:space="preserve"> </w:t>
      </w:r>
      <w:r w:rsidRPr="005F7846">
        <w:rPr>
          <w:rFonts w:asciiTheme="majorHAnsi" w:hAnsiTheme="majorHAnsi" w:cstheme="majorHAnsi"/>
        </w:rPr>
        <w:fldChar w:fldCharType="begin" w:fldLock="1"/>
      </w:r>
      <w:r>
        <w:rPr>
          <w:rFonts w:asciiTheme="majorHAnsi" w:hAnsiTheme="majorHAnsi" w:cstheme="majorHAnsi"/>
        </w:rPr>
        <w:instrText>ADDIN CSL_CITATION {"citationItems":[{"id":"ITEM-1","itemData":{"DOI":"10.20961/bestuur.v8i2.42830","ISSN":"2302-3783","abstract":"&lt;p&gt;The purpose of research is to examine the mining potentials and policies that have been implemented in Lampung Province and to reformulate mining policies in Lampung Province, which on the one hand can improve the regional economy, on the other hand while maintaining environmental sustainability. Mining resources are a source of prosperity for the region, but it requires commitment from local governments, public institutions, the private sector and the community to conduct sustainable mining management. Sustainable management is able to meet the needs of the present, in the future and improve the health, prosperity of the environment and surrounding communities. Policies that can be carried out starting from licensing, monitoring post-mining land management, managing mine waste and compiling regulations that can support the realization of green mining and environmental conservation activities. The results of this study indicate that mining management in Lampung Province provides economic value to increase local revenue. However, it must be supported by environment-based policies, because mining activities have the possibility of an environment that becomes uncontrollably damaged. Efforts that can be done by local governments are by paying attention to licensing for managers, providing guidance, supervision, so that mining activities can be controlled and not damage the environment&lt;/p&gt;&lt;p&gt; &lt;/p&gt;&lt;p&gt;&lt;strong&gt;Keywords:&lt;/strong&gt; Reformulation; Policy; Mining.&lt;/p&gt;","author":[{"dropping-particle":"","family":"Erina","given":"Pane","non-dropping-particle":"","parse-names":false,"suffix":""},{"dropping-particle":"","family":"Yanis","given":"Adam Muhammad","non-dropping-particle":"","parse-names":false,"suffix":""}],"container-title":"Bestuur","id":"ITEM-1","issue":"2","issued":{"date-parts":[["2020"]]},"page":"139","title":"Reconstruction of Mining Policies on Justice in Lampung Province","type":"article-journal","volume":"8"},"uris":["http://www.mendeley.com/documents/?uuid=fa7cd41a-0d1a-4421-a890-cee83224e223"]}],"mendeley":{"formattedCitation":"Pane Erina and Adam Muhammad Yanis, ‘Reconstruction of Mining Policies on Justice in Lampung Province’, &lt;i&gt;Bestuur&lt;/i&gt;, 8.2 (2020), 139 &lt;https://doi.org/10.20961/bestuur.v8i2.42830&gt;.","plainTextFormattedCitation":"Pane Erina and Adam Muhammad Yanis, ‘Reconstruction of Mining Policies on Justice in Lampung Province’, Bestuur, 8.2 (2020), 139 .","previouslyFormattedCitation":"Pane Erina and Adam Muhammad Yanis, ‘Reconstruction of Mining Policies on Justice in Lampung Province’, &lt;i&gt;Bestuur&lt;/i&gt;, 8.2 (2020), 139 &lt;https://doi.org/10.20961/bestuur.v8i2.42830&gt;."},"properties":{"noteIndex":33},"schema":"https://github.com/citation-style-language/schema/raw/master/csl-citation.json"}</w:instrText>
      </w:r>
      <w:r w:rsidRPr="005F7846">
        <w:rPr>
          <w:rFonts w:asciiTheme="majorHAnsi" w:hAnsiTheme="majorHAnsi" w:cstheme="majorHAnsi"/>
        </w:rPr>
        <w:fldChar w:fldCharType="separate"/>
      </w:r>
      <w:r w:rsidRPr="005F7846">
        <w:rPr>
          <w:rFonts w:asciiTheme="majorHAnsi" w:hAnsiTheme="majorHAnsi" w:cstheme="majorHAnsi"/>
          <w:noProof/>
        </w:rPr>
        <w:t xml:space="preserve">Pane Erina and Adam Muhammad Yanis, ‘Reconstruction of Mining Policies on Justice in Lampung Province’, </w:t>
      </w:r>
      <w:r w:rsidRPr="005F7846">
        <w:rPr>
          <w:rFonts w:asciiTheme="majorHAnsi" w:hAnsiTheme="majorHAnsi" w:cstheme="majorHAnsi"/>
          <w:i/>
          <w:noProof/>
        </w:rPr>
        <w:t>Bestuur</w:t>
      </w:r>
      <w:r w:rsidRPr="005F7846">
        <w:rPr>
          <w:rFonts w:asciiTheme="majorHAnsi" w:hAnsiTheme="majorHAnsi" w:cstheme="majorHAnsi"/>
          <w:noProof/>
        </w:rPr>
        <w:t>, 8.2 (2020), 139 &lt;https://doi.org/10.20961/bestuur.v8i2.42830&gt;.</w:t>
      </w:r>
      <w:r w:rsidRPr="005F7846">
        <w:rPr>
          <w:rFonts w:asciiTheme="majorHAnsi" w:hAnsiTheme="majorHAnsi" w:cstheme="majorHAnsi"/>
        </w:rPr>
        <w:fldChar w:fldCharType="end"/>
      </w:r>
    </w:p>
  </w:footnote>
  <w:footnote w:id="34">
    <w:p w:rsidR="005F7846" w:rsidRPr="005F7846" w:rsidRDefault="005F7846" w:rsidP="005F7846">
      <w:pPr>
        <w:pStyle w:val="FootnoteText"/>
        <w:ind w:firstLine="284"/>
        <w:jc w:val="both"/>
        <w:rPr>
          <w:rFonts w:asciiTheme="majorHAnsi" w:hAnsiTheme="majorHAnsi" w:cstheme="majorHAnsi"/>
        </w:rPr>
      </w:pPr>
      <w:r w:rsidRPr="005F7846">
        <w:rPr>
          <w:rStyle w:val="FootnoteReference"/>
          <w:rFonts w:asciiTheme="majorHAnsi" w:hAnsiTheme="majorHAnsi" w:cstheme="majorHAnsi"/>
        </w:rPr>
        <w:footnoteRef/>
      </w:r>
      <w:r w:rsidRPr="005F7846">
        <w:rPr>
          <w:rFonts w:asciiTheme="majorHAnsi" w:hAnsiTheme="majorHAnsi" w:cstheme="majorHAnsi"/>
        </w:rPr>
        <w:t xml:space="preserve"> </w:t>
      </w:r>
      <w:r w:rsidRPr="005F7846">
        <w:rPr>
          <w:rFonts w:asciiTheme="majorHAnsi" w:hAnsiTheme="majorHAnsi" w:cstheme="majorHAnsi"/>
        </w:rPr>
        <w:fldChar w:fldCharType="begin" w:fldLock="1"/>
      </w:r>
      <w:r>
        <w:rPr>
          <w:rFonts w:asciiTheme="majorHAnsi" w:hAnsiTheme="majorHAnsi" w:cstheme="majorHAnsi"/>
        </w:rPr>
        <w:instrText>ADDIN CSL_CITATION {"citationItems":[{"id":"ITEM-1","itemData":{"DOI":"10.1016/j.ecolind.2012.01.008","ISSN":"1470160X","abstract":"Open cut mining heavily affects landscapes and is largely irreversible. Post-mining landscapes often differ dramatically from pre-mining ones. One of the largest open cut lignite mining areas in Europe is in Eastern Germany, south of Leipzig. This paper uses an ecosystem services approach to assess the impacts of mining activity over a 100-year period, spanning pre- and post-mining states. We recorded historical land use data from maps and outlined three future potential land use scenarios based on current planning documents. Our results indicate that maps showing the potentials to provide ecosystem services support the prioritization of preference areas in regional planning. For example, forested and heterogeneous habitats are predicted to enhance future urban development and mitigation of future climate change - a goal of the Saxon government. In contrast, if future development priorities are on local food production and bio-energy use, more arable and grassland areas should be pursued. The use of freely and publicly available data and the simple methods of the approach presented here can be used to inform and improve regional landscape planning. © 2012 Elsevier Ltd. All rights reserved.","author":[{"dropping-particle":"","family":"Larondelle","given":"Neele","non-dropping-particle":"","parse-names":false,"suffix":""},{"dropping-particle":"","family":"Haase","given":"Dagmar","non-dropping-particle":"","parse-names":false,"suffix":""}],"container-title":"Ecological Indicators","id":"ITEM-1","issued":{"date-parts":[["2012"]]},"page":"567-574","publisher":"Elsevier Ltd","title":"Valuing post-mining landscapes using an ecosystem services approach - An example from Germany","type":"article-journal","volume":"18"},"uris":["http://www.mendeley.com/documents/?uuid=312d4e21-1c7c-45b1-ab46-10fa57da8b9d","http://www.mendeley.com/documents/?uuid=74535ea1-c0c9-4818-8bde-2fbd2d11f7a2","http://www.mendeley.com/documents/?uuid=fce870b2-2f7e-4391-9971-6f4b4492b723","http://www.mendeley.com/documents/?uuid=94bc727a-43fa-40ab-9ee7-9a8bb6f25e1b"]}],"mendeley":{"formattedCitation":"Neele Larondelle and Dagmar Haase, ‘Valuing Post-Mining Landscapes Using an Ecosystem Services Approach - An Example from Germany’, &lt;i&gt;Ecological Indicators&lt;/i&gt;, 18 (2012), 567–74 &lt;https://doi.org/10.1016/j.ecolind.2012.01.008&gt;.","plainTextFormattedCitation":"Neele Larondelle and Dagmar Haase, ‘Valuing Post-Mining Landscapes Using an Ecosystem Services Approach - An Example from Germany’, Ecological Indicators, 18 (2012), 567–74 .","previouslyFormattedCitation":"Neele Larondelle and Dagmar Haase, ‘Valuing Post-Mining Landscapes Using an Ecosystem Services Approach - An Example from Germany’, &lt;i&gt;Ecological Indicators&lt;/i&gt;, 18 (2012), 567–74 &lt;https://doi.org/10.1016/j.ecolind.2012.01.008&gt;."},"properties":{"noteIndex":34},"schema":"https://github.com/citation-style-language/schema/raw/master/csl-citation.json"}</w:instrText>
      </w:r>
      <w:r w:rsidRPr="005F7846">
        <w:rPr>
          <w:rFonts w:asciiTheme="majorHAnsi" w:hAnsiTheme="majorHAnsi" w:cstheme="majorHAnsi"/>
        </w:rPr>
        <w:fldChar w:fldCharType="separate"/>
      </w:r>
      <w:r w:rsidRPr="005F7846">
        <w:rPr>
          <w:rFonts w:asciiTheme="majorHAnsi" w:hAnsiTheme="majorHAnsi" w:cstheme="majorHAnsi"/>
          <w:noProof/>
        </w:rPr>
        <w:t xml:space="preserve">Neele Larondelle and Dagmar Haase, ‘Valuing Post-Mining Landscapes Using an Ecosystem Services Approach - An Example from Germany’, </w:t>
      </w:r>
      <w:r w:rsidRPr="005F7846">
        <w:rPr>
          <w:rFonts w:asciiTheme="majorHAnsi" w:hAnsiTheme="majorHAnsi" w:cstheme="majorHAnsi"/>
          <w:i/>
          <w:noProof/>
        </w:rPr>
        <w:t>Ecological Indicators</w:t>
      </w:r>
      <w:r w:rsidRPr="005F7846">
        <w:rPr>
          <w:rFonts w:asciiTheme="majorHAnsi" w:hAnsiTheme="majorHAnsi" w:cstheme="majorHAnsi"/>
          <w:noProof/>
        </w:rPr>
        <w:t>, 18 (2012), 567–74 &lt;https://doi.org/10.1016/j.ecolind.2012.01.008&gt;.</w:t>
      </w:r>
      <w:r w:rsidRPr="005F7846">
        <w:rPr>
          <w:rFonts w:asciiTheme="majorHAnsi" w:hAnsiTheme="majorHAnsi" w:cstheme="majorHAnsi"/>
        </w:rPr>
        <w:fldChar w:fldCharType="end"/>
      </w:r>
    </w:p>
  </w:footnote>
  <w:footnote w:id="35">
    <w:p w:rsidR="005F7846" w:rsidRPr="005F7846" w:rsidRDefault="005F7846" w:rsidP="005F7846">
      <w:pPr>
        <w:pStyle w:val="FootnoteText"/>
        <w:ind w:firstLine="284"/>
        <w:jc w:val="both"/>
        <w:rPr>
          <w:rFonts w:asciiTheme="majorHAnsi" w:hAnsiTheme="majorHAnsi" w:cstheme="majorHAnsi"/>
        </w:rPr>
      </w:pPr>
      <w:r w:rsidRPr="005F7846">
        <w:rPr>
          <w:rStyle w:val="FootnoteReference"/>
          <w:rFonts w:asciiTheme="majorHAnsi" w:hAnsiTheme="majorHAnsi" w:cstheme="majorHAnsi"/>
        </w:rPr>
        <w:footnoteRef/>
      </w:r>
      <w:r w:rsidRPr="005F7846">
        <w:rPr>
          <w:rFonts w:asciiTheme="majorHAnsi" w:hAnsiTheme="majorHAnsi" w:cstheme="majorHAnsi"/>
        </w:rPr>
        <w:t xml:space="preserve"> </w:t>
      </w:r>
      <w:r w:rsidRPr="005F7846">
        <w:rPr>
          <w:rFonts w:asciiTheme="majorHAnsi" w:hAnsiTheme="majorHAnsi" w:cstheme="majorHAnsi"/>
        </w:rPr>
        <w:fldChar w:fldCharType="begin" w:fldLock="1"/>
      </w:r>
      <w:r>
        <w:rPr>
          <w:rFonts w:asciiTheme="majorHAnsi" w:hAnsiTheme="majorHAnsi" w:cstheme="majorHAnsi"/>
        </w:rPr>
        <w:instrText>ADDIN CSL_CITATION {"citationItems":[{"id":"ITEM-1","itemData":{"DOI":"10.1016/j.jclepro.2020.125061","ISSN":"09596526","abstract":"Estimation of the ecological and environmental damage is viewed as an essential tool for effective decision-making in ecological restoration, especially involving high-intensity coal mining and high ecological vulnerability on the Loess Plateau, China. Using the Datong mining area on the Loess Plateau as a case study, we propose an integrated spatial estimation based on surface subsidence prediction, geographic information system, and field survey. The implications for regional ecological restoration are analyzed. Based on this inspection, the magnitude of ecological and environmental damage depended on a combination of risk factors, other than a single factor or evaluation target. Still, the geological hazard was the primary impact factor, especially surface subsidence as a result of underground mining. The results suggest that areas of severe, moderate, and slight damage accounted for 9.87%, 80.09%, and 10.04%, respectively. The methodology used was effective in determining the ecological and environmental damage that is consistent with the spatial distribution of subsidence. The proposed integrated estimation provides targeted measures for active, progressive, and passive interventions to improve and renovate the post-reclamation mining ecosystem and ensure sustainable planning in underground mining areas.","author":[{"dropping-particle":"","family":"Hou","given":"Huping","non-dropping-particle":"","parse-names":false,"suffix":""},{"dropping-particle":"","family":"Ding","given":"Zhongyi","non-dropping-particle":"","parse-names":false,"suffix":""},{"dropping-particle":"","family":"Zhang","given":"Shaoliang","non-dropping-particle":"","parse-names":false,"suffix":""},{"dropping-particle":"","family":"Guo","given":"Shanchuan","non-dropping-particle":"","parse-names":false,"suffix":""},{"dropping-particle":"","family":"Yang","given":"Yongjun","non-dropping-particle":"","parse-names":false,"suffix":""},{"dropping-particle":"","family":"Chen","given":"Zanxu","non-dropping-particle":"","parse-names":false,"suffix":""},{"dropping-particle":"","family":"Mi","given":"Jiaxin","non-dropping-particle":"","parse-names":false,"suffix":""},{"dropping-particle":"","family":"Wang","given":"Xi","non-dropping-particle":"","parse-names":false,"suffix":""}],"container-title":"Journal of Cleaner Production","id":"ITEM-1","issued":{"date-parts":[["2021"]]},"page":"125061","publisher":"Elsevier Ltd","title":"Spatial estimate of ecological and environmental damage in an underground coal mining area on the Loess Plateau: Implications for planning restoration interventions","type":"article-journal","volume":"287"},"uris":["http://www.mendeley.com/documents/?uuid=18f7e9df-8c81-4b4a-baac-231a777ad679","http://www.mendeley.com/documents/?uuid=0f12d591-3482-4340-972f-c39d3b0d0cf7","http://www.mendeley.com/documents/?uuid=f46ee0c5-aa7d-4efd-820e-55d67ad3b72f","http://www.mendeley.com/documents/?uuid=fc66556a-9c1a-4695-9621-a387d1992591"]}],"mendeley":{"formattedCitation":"Huping Hou and others, ‘Spatial Estimate of Ecological and Environmental Damage in an Underground Coal Mining Area on the Loess Plateau: Implications for Planning Restoration Interventions’, &lt;i&gt;Journal of Cleaner Production&lt;/i&gt;, 287 (2021), 125061 &lt;https://doi.org/10.1016/j.jclepro.2020.125061&gt;.","plainTextFormattedCitation":"Huping Hou and others, ‘Spatial Estimate of Ecological and Environmental Damage in an Underground Coal Mining Area on the Loess Plateau: Implications for Planning Restoration Interventions’, Journal of Cleaner Production, 287 (2021), 125061 .","previouslyFormattedCitation":"Huping Hou and others, ‘Spatial Estimate of Ecological and Environmental Damage in an Underground Coal Mining Area on the Loess Plateau: Implications for Planning Restoration Interventions’, &lt;i&gt;Journal of Cleaner Production&lt;/i&gt;, 287 (2021), 125061 &lt;https://doi.org/10.1016/j.jclepro.2020.125061&gt;."},"properties":{"noteIndex":35},"schema":"https://github.com/citation-style-language/schema/raw/master/csl-citation.json"}</w:instrText>
      </w:r>
      <w:r w:rsidRPr="005F7846">
        <w:rPr>
          <w:rFonts w:asciiTheme="majorHAnsi" w:hAnsiTheme="majorHAnsi" w:cstheme="majorHAnsi"/>
        </w:rPr>
        <w:fldChar w:fldCharType="separate"/>
      </w:r>
      <w:r w:rsidRPr="005F7846">
        <w:rPr>
          <w:rFonts w:asciiTheme="majorHAnsi" w:hAnsiTheme="majorHAnsi" w:cstheme="majorHAnsi"/>
          <w:noProof/>
        </w:rPr>
        <w:t xml:space="preserve">Huping Hou and others, ‘Spatial Estimate of Ecological and Environmental Damage in an Underground Coal Mining Area on the Loess Plateau: Implications for Planning Restoration Interventions’, </w:t>
      </w:r>
      <w:r w:rsidRPr="005F7846">
        <w:rPr>
          <w:rFonts w:asciiTheme="majorHAnsi" w:hAnsiTheme="majorHAnsi" w:cstheme="majorHAnsi"/>
          <w:i/>
          <w:noProof/>
        </w:rPr>
        <w:t>Journal of Cleaner Production</w:t>
      </w:r>
      <w:r w:rsidRPr="005F7846">
        <w:rPr>
          <w:rFonts w:asciiTheme="majorHAnsi" w:hAnsiTheme="majorHAnsi" w:cstheme="majorHAnsi"/>
          <w:noProof/>
        </w:rPr>
        <w:t>, 287 (2021), 125061 &lt;https://doi.org/10.1016/j.jclepro.2020.125061&gt;.</w:t>
      </w:r>
      <w:r w:rsidRPr="005F7846">
        <w:rPr>
          <w:rFonts w:asciiTheme="majorHAnsi" w:hAnsiTheme="majorHAnsi" w:cstheme="majorHAnsi"/>
        </w:rPr>
        <w:fldChar w:fldCharType="end"/>
      </w:r>
    </w:p>
  </w:footnote>
  <w:footnote w:id="36">
    <w:p w:rsidR="005F7846" w:rsidRPr="005F7846" w:rsidRDefault="005F7846" w:rsidP="005F7846">
      <w:pPr>
        <w:pStyle w:val="FootnoteText"/>
        <w:ind w:firstLine="284"/>
        <w:jc w:val="both"/>
        <w:rPr>
          <w:rFonts w:asciiTheme="majorHAnsi" w:hAnsiTheme="majorHAnsi" w:cstheme="majorHAnsi"/>
        </w:rPr>
      </w:pPr>
      <w:r w:rsidRPr="005F7846">
        <w:rPr>
          <w:rStyle w:val="FootnoteReference"/>
          <w:rFonts w:asciiTheme="majorHAnsi" w:hAnsiTheme="majorHAnsi" w:cstheme="majorHAnsi"/>
        </w:rPr>
        <w:footnoteRef/>
      </w:r>
      <w:r w:rsidRPr="005F7846">
        <w:rPr>
          <w:rFonts w:asciiTheme="majorHAnsi" w:hAnsiTheme="majorHAnsi" w:cstheme="majorHAnsi"/>
        </w:rPr>
        <w:t xml:space="preserve"> </w:t>
      </w:r>
      <w:r w:rsidRPr="005F7846">
        <w:rPr>
          <w:rFonts w:asciiTheme="majorHAnsi" w:hAnsiTheme="majorHAnsi" w:cstheme="majorHAnsi"/>
        </w:rPr>
        <w:fldChar w:fldCharType="begin" w:fldLock="1"/>
      </w:r>
      <w:r>
        <w:rPr>
          <w:rFonts w:asciiTheme="majorHAnsi" w:hAnsiTheme="majorHAnsi" w:cstheme="majorHAnsi"/>
        </w:rPr>
        <w:instrText>ADDIN CSL_CITATION {"citationItems":[{"id":"ITEM-1","itemData":{"DOI":"10.1016/j.envpol.2019.07.049","ISSN":"18736424","PMID":"31344542","abstract":"In order to evaluate the effect of mining activity on the environment of the Qhorveh mining area in the west of Iran, the geological, ecological and environmental data, related to social development and regional economic status, were used. The geological data included seven sub-indices, such as vegetation coverage, land utilization type, and fault activity; ecological data, with two sub-indices, such as degree of ecological environment recovery; and finally, environmental data, with three sub-indices, such as soil and dust pollutions. These were selected based on the literature and expert opinion which were utilized for environmental pollution and geo-ecological (EPGE) risk assessment of the study site. Remote sensing (RS) image, field sampling, digital elevation map, and data retrieved from different government agencies were used to generate layers for the sub-indices in the geographic information system (GIS) environment. In addition, the analytical hierarchy process (AHP) method was used to determine the weight of sub-indices. Five levels consisting of best, good, middle, poor and worst were used to describe the EPGE risk assessment of the Qhorveh mining area. Results showed that worst and poor levels of EPGE risk are in the east and northeast of the study area where the gold and pumice mines are located while best and good levels of EPGE risk are in its center where the stone mines are located. According to the results of this research, the EPGE risk assessment of the Qhorveh mining area is affected by the environmental pollution index with its highest weight (0.3908). It can be concluded that the integration of the RS, GIS and AHP methods proposed in this study improved the evaluation quality of EPGE risk assessment.","author":[{"dropping-particle":"","family":"Saedpanah","given":"Safoura","non-dropping-particle":"","parse-names":false,"suffix":""},{"dropping-particle":"","family":"Amanollahi","given":"Jamil","non-dropping-particle":"","parse-names":false,"suffix":""}],"container-title":"Environmental Pollution","id":"ITEM-1","issued":{"date-parts":[["2019"]]},"page":"811-820","publisher":"Elsevier Ltd","title":"Environmental pollution and geo-ecological risk assessment of the Qhorveh mining area in western Iran","type":"article-journal","volume":"253"},"uris":["http://www.mendeley.com/documents/?uuid=12534035-b748-43f4-99d8-0657d3caf4c5","http://www.mendeley.com/documents/?uuid=67fd37fa-18ec-4005-a78c-c85b99eeb17a","http://www.mendeley.com/documents/?uuid=4b28006e-fbae-4653-ba9c-fc6e44d8006d","http://www.mendeley.com/documents/?uuid=02b72e68-8130-4bdb-93db-7b08b965dcf9"]}],"mendeley":{"formattedCitation":"Safoura Saedpanah and Jamil Amanollahi, ‘Environmental Pollution and Geo-Ecological Risk Assessment of the Qhorveh Mining Area in Western Iran’, &lt;i&gt;Environmental Pollution&lt;/i&gt;, 253 (2019), 811–20 &lt;https://doi.org/10.1016/j.envpol.2019.07.049&gt;.","plainTextFormattedCitation":"Safoura Saedpanah and Jamil Amanollahi, ‘Environmental Pollution and Geo-Ecological Risk Assessment of the Qhorveh Mining Area in Western Iran’, Environmental Pollution, 253 (2019), 811–20 .","previouslyFormattedCitation":"Safoura Saedpanah and Jamil Amanollahi, ‘Environmental Pollution and Geo-Ecological Risk Assessment of the Qhorveh Mining Area in Western Iran’, &lt;i&gt;Environmental Pollution&lt;/i&gt;, 253 (2019), 811–20 &lt;https://doi.org/10.1016/j.envpol.2019.07.049&gt;."},"properties":{"noteIndex":36},"schema":"https://github.com/citation-style-language/schema/raw/master/csl-citation.json"}</w:instrText>
      </w:r>
      <w:r w:rsidRPr="005F7846">
        <w:rPr>
          <w:rFonts w:asciiTheme="majorHAnsi" w:hAnsiTheme="majorHAnsi" w:cstheme="majorHAnsi"/>
        </w:rPr>
        <w:fldChar w:fldCharType="separate"/>
      </w:r>
      <w:r w:rsidRPr="005F7846">
        <w:rPr>
          <w:rFonts w:asciiTheme="majorHAnsi" w:hAnsiTheme="majorHAnsi" w:cstheme="majorHAnsi"/>
          <w:noProof/>
        </w:rPr>
        <w:t xml:space="preserve">Safoura Saedpanah and Jamil Amanollahi, ‘Environmental Pollution and Geo-Ecological Risk Assessment of the Qhorveh Mining Area in Western Iran’, </w:t>
      </w:r>
      <w:r w:rsidRPr="005F7846">
        <w:rPr>
          <w:rFonts w:asciiTheme="majorHAnsi" w:hAnsiTheme="majorHAnsi" w:cstheme="majorHAnsi"/>
          <w:i/>
          <w:noProof/>
        </w:rPr>
        <w:t>Environmental Pollution</w:t>
      </w:r>
      <w:r w:rsidRPr="005F7846">
        <w:rPr>
          <w:rFonts w:asciiTheme="majorHAnsi" w:hAnsiTheme="majorHAnsi" w:cstheme="majorHAnsi"/>
          <w:noProof/>
        </w:rPr>
        <w:t>, 253 (2019), 811–20 &lt;https://doi.org/10.1016/j.envpol.2019.07.049&gt;.</w:t>
      </w:r>
      <w:r w:rsidRPr="005F7846">
        <w:rPr>
          <w:rFonts w:asciiTheme="majorHAnsi" w:hAnsiTheme="majorHAnsi" w:cstheme="majorHAnsi"/>
        </w:rPr>
        <w:fldChar w:fldCharType="end"/>
      </w:r>
    </w:p>
  </w:footnote>
  <w:footnote w:id="37">
    <w:p w:rsidR="005F7846" w:rsidRPr="005F7846" w:rsidRDefault="005F7846" w:rsidP="005F7846">
      <w:pPr>
        <w:pStyle w:val="FootnoteText"/>
        <w:ind w:firstLine="284"/>
        <w:jc w:val="both"/>
        <w:rPr>
          <w:rFonts w:asciiTheme="majorHAnsi" w:hAnsiTheme="majorHAnsi" w:cstheme="majorHAnsi"/>
        </w:rPr>
      </w:pPr>
      <w:r w:rsidRPr="005F7846">
        <w:rPr>
          <w:rStyle w:val="FootnoteReference"/>
          <w:rFonts w:asciiTheme="majorHAnsi" w:hAnsiTheme="majorHAnsi" w:cstheme="majorHAnsi"/>
        </w:rPr>
        <w:footnoteRef/>
      </w:r>
      <w:r w:rsidRPr="005F7846">
        <w:rPr>
          <w:rFonts w:asciiTheme="majorHAnsi" w:hAnsiTheme="majorHAnsi" w:cstheme="majorHAnsi"/>
        </w:rPr>
        <w:t xml:space="preserve"> </w:t>
      </w:r>
      <w:r w:rsidRPr="005F7846">
        <w:rPr>
          <w:rFonts w:asciiTheme="majorHAnsi" w:hAnsiTheme="majorHAnsi" w:cstheme="majorHAnsi"/>
        </w:rPr>
        <w:fldChar w:fldCharType="begin" w:fldLock="1"/>
      </w:r>
      <w:r>
        <w:rPr>
          <w:rFonts w:asciiTheme="majorHAnsi" w:hAnsiTheme="majorHAnsi" w:cstheme="majorHAnsi"/>
        </w:rPr>
        <w:instrText>ADDIN CSL_CITATION {"citationItems":[{"id":"ITEM-1","itemData":{"DOI":"10.1016/j.ecolind.2019.105651","ISSN":"1470160X","abstract":"Coal resource extensive development and utilization seriously threatens the region fragile ecological environment in Western China. Using the Yushenfu coal mining area as a study site, the ecological and geological environment (eco-geo-environment) factors affected by coal mining were analyzed. Spatiotemporal data extracted from remote sensing images was combined with survey data to establish an evaluation and prediction model. Integrated eco-geo-environmental quality was established by calculating the combined weight of each factor using the fuzzy delphi analytic hierarchy process method to develop a comprehensive multi-factor eco-geo-environment quality evaluation map. Results shows that the eco-geo-environment quality was divided in five grades of worse, bad, medium, good and better, the overall condition of the study region is moderate and it is apparent that regions with less intensive mining activities (Yushen sub coal mining area) are in better condition as compared to those regions where intensive mining is well established (Shenfu sub coal mining area). Comparisons with the classified eco-geo-environment categories revealed that different eco-geo-environment quality grades were affected different eco-geo-environment categories after a period of coal resources exploitation, but eco-geo-environment quality generally has been declining since the development and utilization of coal resources. The model provides a more scientific and accurate method to evaluate regional eco-geo-environmental quality, which is important for the coordinated development between coal mining and the fragile eco-environment.","author":[{"dropping-particle":"","family":"Yang","given":"Zhi","non-dropping-particle":"","parse-names":false,"suffix":""},{"dropping-particle":"","family":"Li","given":"Wenping","non-dropping-particle":"","parse-names":false,"suffix":""},{"dropping-particle":"","family":"Li","given":"Xiaoqin","non-dropping-particle":"","parse-names":false,"suffix":""},{"dropping-particle":"","family":"Wang","given":"Qiqing","non-dropping-particle":"","parse-names":false,"suffix":""},{"dropping-particle":"","family":"He","given":"Jianghui","non-dropping-particle":"","parse-names":false,"suffix":""}],"container-title":"Ecological Indicators","id":"ITEM-1","issue":"August","issued":{"date-parts":[["2019"]]},"page":"105651","publisher":"Elsevier","title":"Assessment of eco-geo-environment quality using multivariate data: A case study in a coal mining area of Western China","type":"article-journal","volume":"107"},"uris":["http://www.mendeley.com/documents/?uuid=d999e87c-a43f-451c-8bb1-ad67eea3c211","http://www.mendeley.com/documents/?uuid=0dd7d078-7896-4784-9d1e-708c8a3da1d0","http://www.mendeley.com/documents/?uuid=dd3d8e01-cd7a-4e70-b27e-ba771710b976","http://www.mendeley.com/documents/?uuid=521b5968-e4d5-4ec7-ac15-4d82ccdc8682"]}],"mendeley":{"formattedCitation":"Zhi Yang and others, ‘Assessment of Eco-Geo-Environment Quality Using Multivariate Data: A Case Study in a Coal Mining Area of Western China’, &lt;i&gt;Ecological Indicators&lt;/i&gt;, 107.August (2019), 105651 &lt;https://doi.org/10.1016/j.ecolind.2019.105651&gt;.","plainTextFormattedCitation":"Zhi Yang and others, ‘Assessment of Eco-Geo-Environment Quality Using Multivariate Data: A Case Study in a Coal Mining Area of Western China’, Ecological Indicators, 107.August (2019), 105651 .","previouslyFormattedCitation":"Zhi Yang and others, ‘Assessment of Eco-Geo-Environment Quality Using Multivariate Data: A Case Study in a Coal Mining Area of Western China’, &lt;i&gt;Ecological Indicators&lt;/i&gt;, 107.August (2019), 105651 &lt;https://doi.org/10.1016/j.ecolind.2019.105651&gt;."},"properties":{"noteIndex":37},"schema":"https://github.com/citation-style-language/schema/raw/master/csl-citation.json"}</w:instrText>
      </w:r>
      <w:r w:rsidRPr="005F7846">
        <w:rPr>
          <w:rFonts w:asciiTheme="majorHAnsi" w:hAnsiTheme="majorHAnsi" w:cstheme="majorHAnsi"/>
        </w:rPr>
        <w:fldChar w:fldCharType="separate"/>
      </w:r>
      <w:r w:rsidRPr="005F7846">
        <w:rPr>
          <w:rFonts w:asciiTheme="majorHAnsi" w:hAnsiTheme="majorHAnsi" w:cstheme="majorHAnsi"/>
          <w:noProof/>
        </w:rPr>
        <w:t xml:space="preserve">Zhi Yang and others, ‘Assessment of Eco-Geo-Environment Quality Using Multivariate Data: A Case Study in a Coal Mining Area of Western China’, </w:t>
      </w:r>
      <w:r w:rsidRPr="005F7846">
        <w:rPr>
          <w:rFonts w:asciiTheme="majorHAnsi" w:hAnsiTheme="majorHAnsi" w:cstheme="majorHAnsi"/>
          <w:i/>
          <w:noProof/>
        </w:rPr>
        <w:t>Ecological Indicators</w:t>
      </w:r>
      <w:r w:rsidRPr="005F7846">
        <w:rPr>
          <w:rFonts w:asciiTheme="majorHAnsi" w:hAnsiTheme="majorHAnsi" w:cstheme="majorHAnsi"/>
          <w:noProof/>
        </w:rPr>
        <w:t>, 107.August (2019), 105651 &lt;https://doi.org/10.1016/j.ecolind.2019.105651&gt;.</w:t>
      </w:r>
      <w:r w:rsidRPr="005F7846">
        <w:rPr>
          <w:rFonts w:asciiTheme="majorHAnsi" w:hAnsiTheme="majorHAnsi" w:cstheme="majorHAnsi"/>
        </w:rPr>
        <w:fldChar w:fldCharType="end"/>
      </w:r>
    </w:p>
  </w:footnote>
  <w:footnote w:id="38">
    <w:p w:rsidR="005F7846" w:rsidRPr="005F7846" w:rsidRDefault="005F7846" w:rsidP="005F7846">
      <w:pPr>
        <w:pStyle w:val="FootnoteText"/>
        <w:ind w:firstLine="284"/>
        <w:jc w:val="both"/>
        <w:rPr>
          <w:rFonts w:asciiTheme="majorHAnsi" w:hAnsiTheme="majorHAnsi" w:cstheme="majorHAnsi"/>
        </w:rPr>
      </w:pPr>
      <w:r w:rsidRPr="005F7846">
        <w:rPr>
          <w:rStyle w:val="FootnoteReference"/>
          <w:rFonts w:asciiTheme="majorHAnsi" w:hAnsiTheme="majorHAnsi" w:cstheme="majorHAnsi"/>
        </w:rPr>
        <w:footnoteRef/>
      </w:r>
      <w:r w:rsidRPr="005F7846">
        <w:rPr>
          <w:rFonts w:asciiTheme="majorHAnsi" w:hAnsiTheme="majorHAnsi" w:cstheme="majorHAnsi"/>
        </w:rPr>
        <w:t xml:space="preserve"> </w:t>
      </w:r>
      <w:r w:rsidRPr="005F7846">
        <w:rPr>
          <w:rFonts w:asciiTheme="majorHAnsi" w:hAnsiTheme="majorHAnsi" w:cstheme="majorHAnsi"/>
        </w:rPr>
        <w:fldChar w:fldCharType="begin" w:fldLock="1"/>
      </w:r>
      <w:r>
        <w:rPr>
          <w:rFonts w:asciiTheme="majorHAnsi" w:hAnsiTheme="majorHAnsi" w:cstheme="majorHAnsi"/>
        </w:rPr>
        <w:instrText>ADDIN CSL_CITATION {"citationItems":[{"id":"ITEM-1","itemData":{"id":"ITEM-1","issued":{"date-parts":[["0"]]},"title":"Peraturan Pemerintah Nomor 22 Tahun 2021 Tentang Penyelenggaraan Perlindungan dan Pengelolaan Lingkungan Hidup","type":"legislation"},"uris":["http://www.mendeley.com/documents/?uuid=83edcdcb-3de4-4402-b114-afe4a46be845","http://www.mendeley.com/documents/?uuid=c78771a8-cc98-479c-88a2-ff9c4e7337f0","http://www.mendeley.com/documents/?uuid=2a0e0d83-8529-4da5-a966-c8e223e79522","http://www.mendeley.com/documents/?uuid=37a5f0a5-6642-4e5c-a931-e82cbd680acc"]}],"mendeley":{"formattedCitation":"&lt;i&gt;Peraturan Pemerintah Nomor 22 Tahun 2021 Tentang Penyelenggaraan Perlindungan Dan Pengelolaan Lingkungan Hidup&lt;/i&gt;.","plainTextFormattedCitation":"Peraturan Pemerintah Nomor 22 Tahun 2021 Tentang Penyelenggaraan Perlindungan Dan Pengelolaan Lingkungan Hidup.","previouslyFormattedCitation":"&lt;i&gt;Peraturan Pemerintah Nomor 22 Tahun 2021 Tentang Penyelenggaraan Perlindungan Dan Pengelolaan Lingkungan Hidup&lt;/i&gt;."},"properties":{"noteIndex":38},"schema":"https://github.com/citation-style-language/schema/raw/master/csl-citation.json"}</w:instrText>
      </w:r>
      <w:r w:rsidRPr="005F7846">
        <w:rPr>
          <w:rFonts w:asciiTheme="majorHAnsi" w:hAnsiTheme="majorHAnsi" w:cstheme="majorHAnsi"/>
        </w:rPr>
        <w:fldChar w:fldCharType="separate"/>
      </w:r>
      <w:r w:rsidRPr="005F7846">
        <w:rPr>
          <w:rFonts w:asciiTheme="majorHAnsi" w:hAnsiTheme="majorHAnsi" w:cstheme="majorHAnsi"/>
          <w:i/>
          <w:noProof/>
        </w:rPr>
        <w:t>Peraturan Pemerintah Nomor 22 Tahun 2021 Tentang Penyelenggaraan Perlindungan Dan Pengelolaan Lingkungan Hidup</w:t>
      </w:r>
      <w:r w:rsidRPr="005F7846">
        <w:rPr>
          <w:rFonts w:asciiTheme="majorHAnsi" w:hAnsiTheme="majorHAnsi" w:cstheme="majorHAnsi"/>
          <w:noProof/>
        </w:rPr>
        <w:t>.</w:t>
      </w:r>
      <w:r w:rsidRPr="005F7846">
        <w:rPr>
          <w:rFonts w:asciiTheme="majorHAnsi" w:hAnsiTheme="majorHAnsi" w:cstheme="majorHAnsi"/>
        </w:rPr>
        <w:fldChar w:fldCharType="end"/>
      </w:r>
    </w:p>
  </w:footnote>
  <w:footnote w:id="39">
    <w:p w:rsidR="005F7846" w:rsidRPr="005F7846" w:rsidRDefault="005F7846" w:rsidP="005F7846">
      <w:pPr>
        <w:pStyle w:val="FootnoteText"/>
        <w:ind w:firstLine="284"/>
        <w:jc w:val="both"/>
        <w:rPr>
          <w:rFonts w:asciiTheme="majorHAnsi" w:hAnsiTheme="majorHAnsi" w:cstheme="majorHAnsi"/>
        </w:rPr>
      </w:pPr>
      <w:r w:rsidRPr="005F7846">
        <w:rPr>
          <w:rStyle w:val="FootnoteReference"/>
          <w:rFonts w:asciiTheme="majorHAnsi" w:hAnsiTheme="majorHAnsi" w:cstheme="majorHAnsi"/>
        </w:rPr>
        <w:footnoteRef/>
      </w:r>
      <w:r w:rsidRPr="005F7846">
        <w:rPr>
          <w:rFonts w:asciiTheme="majorHAnsi" w:hAnsiTheme="majorHAnsi" w:cstheme="majorHAnsi"/>
        </w:rPr>
        <w:t xml:space="preserve"> </w:t>
      </w:r>
      <w:r w:rsidRPr="005F7846">
        <w:rPr>
          <w:rFonts w:asciiTheme="majorHAnsi" w:hAnsiTheme="majorHAnsi" w:cstheme="majorHAnsi"/>
        </w:rPr>
        <w:fldChar w:fldCharType="begin" w:fldLock="1"/>
      </w:r>
      <w:r>
        <w:rPr>
          <w:rFonts w:asciiTheme="majorHAnsi" w:hAnsiTheme="majorHAnsi" w:cstheme="majorHAnsi"/>
        </w:rPr>
        <w:instrText>ADDIN CSL_CITATION {"citationItems":[{"id":"ITEM-1","itemData":{"DOI":"10.20961/bestuur.v10i1.60179","ISSN":"2302-3783","abstract":"&lt;div&gt;&lt;table cellspacing=\"0\" cellpadding=\"0\" align=\"left\"&gt;&lt;tbody&gt;&lt;tr&gt;&lt;td align=\"left\" valign=\"top\"&gt;&lt;p&gt;Indonesia has agreed to the ASEAN Consensus on the Promotion and Protection of the Rights of Migrant Workers. However, many cases have proved the vulnerability of the legal protection for Indonesian migrant workers in Malaysia. In other words, the consensus has not protected the workers. Therefore, this research was conducted to analyze considerations for the regulations designed to protect post-consensus migrant workers. The objective comprised three aspects: analysis of the legislation after consensus, the draft policy that realizes the consensus, and the enforcement based on the draft formulated to safeguard the rights of migrant workers—a normative juridical method used in this research. The results showed that the consensus is a soft law that does not have a binding effect and sanction, causing it vulnerable to a violation, especially among undocumented migrant workers.  Therefore, the research recommends bureaucracy reform to reduce the administrative costs for the migrant workers, allowing them to have better legal protection.&lt;/p&gt;&lt;/td&gt;&lt;/tr&gt;&lt;/tbody&gt;&lt;/table&gt;&lt;/div&gt;","author":[{"dropping-particle":"","family":"Asmorojati","given":"Anom Wahyu","non-dropping-particle":"","parse-names":false,"suffix":""},{"dropping-particle":"","family":"Nur","given":"Muhammad","non-dropping-particle":"","parse-names":false,"suffix":""},{"dropping-particle":"","family":"Dewi","given":"Indah Kusuma","non-dropping-particle":"","parse-names":false,"suffix":""},{"dropping-particle":"","family":"Hashim","given":"Hezlina","non-dropping-particle":"","parse-names":false,"suffix":""}],"container-title":"Bestuur","id":"ITEM-1","issue":"1","issued":{"date-parts":[["2022"]]},"page":"43","title":"The Impact of COVID-19 on Challenges and Protection Practices of Migrant Workers' Rights","type":"article-journal","volume":"10"},"uris":["http://www.mendeley.com/documents/?uuid=48282a5d-3a64-4f24-8366-35168deb63ab"]}],"mendeley":{"formattedCitation":"Anom Wahyu Asmorojati and others, ‘The Impact of COVID-19 on Challenges and Protection Practices of Migrant Workers’ Rights’, &lt;i&gt;Bestuur&lt;/i&gt;, 10.1 (2022), 43 &lt;https://doi.org/10.20961/bestuur.v10i1.60179&gt;.","plainTextFormattedCitation":"Anom Wahyu Asmorojati and others, ‘The Impact of COVID-19 on Challenges and Protection Practices of Migrant Workers’ Rights’, Bestuur, 10.1 (2022), 43 .","previouslyFormattedCitation":"Anom Wahyu Asmorojati and others, ‘The Impact of COVID-19 on Challenges and Protection Practices of Migrant Workers’ Rights’, &lt;i&gt;Bestuur&lt;/i&gt;, 10.1 (2022), 43 &lt;https://doi.org/10.20961/bestuur.v10i1.60179&gt;."},"properties":{"noteIndex":39},"schema":"https://github.com/citation-style-language/schema/raw/master/csl-citation.json"}</w:instrText>
      </w:r>
      <w:r w:rsidRPr="005F7846">
        <w:rPr>
          <w:rFonts w:asciiTheme="majorHAnsi" w:hAnsiTheme="majorHAnsi" w:cstheme="majorHAnsi"/>
        </w:rPr>
        <w:fldChar w:fldCharType="separate"/>
      </w:r>
      <w:r w:rsidRPr="005F7846">
        <w:rPr>
          <w:rFonts w:asciiTheme="majorHAnsi" w:hAnsiTheme="majorHAnsi" w:cstheme="majorHAnsi"/>
          <w:noProof/>
        </w:rPr>
        <w:t xml:space="preserve">Anom Wahyu Asmorojati and others, ‘The Impact of COVID-19 on Challenges and Protection Practices of Migrant Workers’ Rights’, </w:t>
      </w:r>
      <w:r w:rsidRPr="005F7846">
        <w:rPr>
          <w:rFonts w:asciiTheme="majorHAnsi" w:hAnsiTheme="majorHAnsi" w:cstheme="majorHAnsi"/>
          <w:i/>
          <w:noProof/>
        </w:rPr>
        <w:t>Bestuur</w:t>
      </w:r>
      <w:r w:rsidRPr="005F7846">
        <w:rPr>
          <w:rFonts w:asciiTheme="majorHAnsi" w:hAnsiTheme="majorHAnsi" w:cstheme="majorHAnsi"/>
          <w:noProof/>
        </w:rPr>
        <w:t>, 10.1 (2022), 43 &lt;https://doi.org/10.20961/bestuur.v10i1.60179&gt;.</w:t>
      </w:r>
      <w:r w:rsidRPr="005F7846">
        <w:rPr>
          <w:rFonts w:asciiTheme="majorHAnsi" w:hAnsiTheme="majorHAnsi" w:cstheme="majorHAnsi"/>
        </w:rPr>
        <w:fldChar w:fldCharType="end"/>
      </w:r>
    </w:p>
  </w:footnote>
  <w:footnote w:id="40">
    <w:p w:rsidR="005F7846" w:rsidRPr="005F7846" w:rsidRDefault="005F7846" w:rsidP="005F7846">
      <w:pPr>
        <w:pStyle w:val="FootnoteText"/>
        <w:ind w:firstLine="284"/>
        <w:jc w:val="both"/>
        <w:rPr>
          <w:rFonts w:asciiTheme="majorHAnsi" w:hAnsiTheme="majorHAnsi" w:cstheme="majorHAnsi"/>
        </w:rPr>
      </w:pPr>
      <w:r w:rsidRPr="005F7846">
        <w:rPr>
          <w:rStyle w:val="FootnoteReference"/>
          <w:rFonts w:asciiTheme="majorHAnsi" w:hAnsiTheme="majorHAnsi" w:cstheme="majorHAnsi"/>
        </w:rPr>
        <w:footnoteRef/>
      </w:r>
      <w:r w:rsidRPr="005F7846">
        <w:rPr>
          <w:rFonts w:asciiTheme="majorHAnsi" w:hAnsiTheme="majorHAnsi" w:cstheme="majorHAnsi"/>
        </w:rPr>
        <w:t xml:space="preserve"> </w:t>
      </w:r>
      <w:r w:rsidRPr="005F7846">
        <w:rPr>
          <w:rFonts w:asciiTheme="majorHAnsi" w:hAnsiTheme="majorHAnsi" w:cstheme="majorHAnsi"/>
        </w:rPr>
        <w:fldChar w:fldCharType="begin" w:fldLock="1"/>
      </w:r>
      <w:r>
        <w:rPr>
          <w:rFonts w:asciiTheme="majorHAnsi" w:hAnsiTheme="majorHAnsi" w:cstheme="majorHAnsi"/>
        </w:rPr>
        <w:instrText>ADDIN CSL_CITATION {"citationItems":[{"id":"ITEM-1","itemData":{"abstract":"Aktifitas pertambangan di dianggap seperti uang logam yang memiliki dua sisi yang saling berlawanan, yaitu sebagai sumber kemakmuran sekaligus perusak lingkungan yang sangat potensial. Sebagai sumber kemakmuran, sektor ini menyokong pendapatan negara selama bertahun-tahun dan penyediaan lapangan kerja. Sebagai perusak lingkungan, pertambangan terbuka dapat mengubah secara total baik iklim dan tanah akibat seluruh lapisan tanah di atas deposit bahan tambang disingkirkan.","author":[{"dropping-particle":"","family":"Hakim","given":"Ilmi","non-dropping-particle":"","parse-names":false,"suffix":""}],"container-title":"Jurnal Ilmu Pemerintahan","id":"ITEM-1","issue":"2","issued":{"date-parts":[["2015"]]},"page":"1731-1741","title":"Dampak Kebijakan Pertambangan Batubara Bagi Masyarakat Bengkuring Kelurahan Sempaja Selatan Kecamatan Samarinda utara","type":"article-journal","volume":"2"},"uris":["http://www.mendeley.com/documents/?uuid=f3909f21-399b-4f7b-aac1-b34865eb78fe","http://www.mendeley.com/documents/?uuid=a41f25a4-054c-455d-b674-0fb77a5ead67","http://www.mendeley.com/documents/?uuid=49d4257c-2b48-4080-bfd8-4810740e6245","http://www.mendeley.com/documents/?uuid=61001428-e54d-4df3-ad63-e0b8ccd3a9fa"]}],"mendeley":{"formattedCitation":"Ilmi Hakim, ‘Dampak Kebijakan Pertambangan Batubara Bagi Masyarakat Bengkuring Kelurahan Sempaja Selatan Kecamatan Samarinda Utara’, &lt;i&gt;Jurnal Ilmu Pemerintahan&lt;/i&gt;, 2.2 (2015), 1731–41.","plainTextFormattedCitation":"Ilmi Hakim, ‘Dampak Kebijakan Pertambangan Batubara Bagi Masyarakat Bengkuring Kelurahan Sempaja Selatan Kecamatan Samarinda Utara’, Jurnal Ilmu Pemerintahan, 2.2 (2015), 1731–41.","previouslyFormattedCitation":"Ilmi Hakim, ‘Dampak Kebijakan Pertambangan Batubara Bagi Masyarakat Bengkuring Kelurahan Sempaja Selatan Kecamatan Samarinda Utara’, &lt;i&gt;Jurnal Ilmu Pemerintahan&lt;/i&gt;, 2.2 (2015), 1731–41."},"properties":{"noteIndex":40},"schema":"https://github.com/citation-style-language/schema/raw/master/csl-citation.json"}</w:instrText>
      </w:r>
      <w:r w:rsidRPr="005F7846">
        <w:rPr>
          <w:rFonts w:asciiTheme="majorHAnsi" w:hAnsiTheme="majorHAnsi" w:cstheme="majorHAnsi"/>
        </w:rPr>
        <w:fldChar w:fldCharType="separate"/>
      </w:r>
      <w:r w:rsidRPr="005F7846">
        <w:rPr>
          <w:rFonts w:asciiTheme="majorHAnsi" w:hAnsiTheme="majorHAnsi" w:cstheme="majorHAnsi"/>
          <w:noProof/>
        </w:rPr>
        <w:t xml:space="preserve">Ilmi Hakim, ‘Dampak Kebijakan Pertambangan Batubara Bagi Masyarakat Bengkuring Kelurahan Sempaja Selatan Kecamatan Samarinda Utara’, </w:t>
      </w:r>
      <w:r w:rsidRPr="005F7846">
        <w:rPr>
          <w:rFonts w:asciiTheme="majorHAnsi" w:hAnsiTheme="majorHAnsi" w:cstheme="majorHAnsi"/>
          <w:i/>
          <w:noProof/>
        </w:rPr>
        <w:t>Jurnal Ilmu Pemerintahan</w:t>
      </w:r>
      <w:r w:rsidRPr="005F7846">
        <w:rPr>
          <w:rFonts w:asciiTheme="majorHAnsi" w:hAnsiTheme="majorHAnsi" w:cstheme="majorHAnsi"/>
          <w:noProof/>
        </w:rPr>
        <w:t>, 2.2 (2015), 1731–41.</w:t>
      </w:r>
      <w:r w:rsidRPr="005F7846">
        <w:rPr>
          <w:rFonts w:asciiTheme="majorHAnsi" w:hAnsiTheme="majorHAnsi" w:cstheme="majorHAnsi"/>
        </w:rPr>
        <w:fldChar w:fldCharType="end"/>
      </w:r>
    </w:p>
  </w:footnote>
  <w:footnote w:id="41">
    <w:p w:rsidR="005F7846" w:rsidRPr="005F7846" w:rsidRDefault="005F7846" w:rsidP="005F7846">
      <w:pPr>
        <w:pStyle w:val="FootnoteText"/>
        <w:ind w:firstLine="284"/>
        <w:jc w:val="both"/>
        <w:rPr>
          <w:rFonts w:asciiTheme="majorHAnsi" w:hAnsiTheme="majorHAnsi" w:cstheme="majorHAnsi"/>
        </w:rPr>
      </w:pPr>
      <w:r w:rsidRPr="005F7846">
        <w:rPr>
          <w:rStyle w:val="FootnoteReference"/>
          <w:rFonts w:asciiTheme="majorHAnsi" w:hAnsiTheme="majorHAnsi" w:cstheme="majorHAnsi"/>
        </w:rPr>
        <w:footnoteRef/>
      </w:r>
      <w:r w:rsidRPr="005F7846">
        <w:rPr>
          <w:rFonts w:asciiTheme="majorHAnsi" w:hAnsiTheme="majorHAnsi" w:cstheme="majorHAnsi"/>
        </w:rPr>
        <w:t xml:space="preserve"> </w:t>
      </w:r>
      <w:r w:rsidRPr="005F7846">
        <w:rPr>
          <w:rFonts w:asciiTheme="majorHAnsi" w:hAnsiTheme="majorHAnsi" w:cstheme="majorHAnsi"/>
        </w:rPr>
        <w:fldChar w:fldCharType="begin" w:fldLock="1"/>
      </w:r>
      <w:r>
        <w:rPr>
          <w:rFonts w:asciiTheme="majorHAnsi" w:hAnsiTheme="majorHAnsi" w:cstheme="majorHAnsi"/>
        </w:rPr>
        <w:instrText>ADDIN CSL_CITATION {"citationItems":[{"id":"ITEM-1","itemData":{"DOI":"10.53955/jhcls.v1i2.10","ISSN":"2807-2979","abstract":"Ecolabel is an international environmental standard that has been set by the World Trade Organization (WTO). The application of ecolabel is expected to be a solution for environmental problems. Ecolabeling is carried out with an approach of internationally agreed standards. In the timber industry in Indonesia, ecolabeling is implemented with the Timber Legality Verification System (SVLK) policy. This policy is proven to overcome illegal logging and illegal trade and improve forest governance.Keywords: Ecolabel; SVLK; and Environment. ","author":[{"dropping-particle":"","family":"Ma’ruf","given":"Arifin","non-dropping-particle":"","parse-names":false,"suffix":""}],"container-title":"Journal of Human Rights, Culture and Legal System","id":"ITEM-1","issue":"2","issued":{"date-parts":[["2021"]]},"page":"92-99","title":"Application of Timber Legality Verification System (SVLK) Policy as Ecolabel Implementation in the Indonesian Timber Industry","type":"article-journal","volume":"1"},"uris":["http://www.mendeley.com/documents/?uuid=6ef47668-25ca-41ee-9a3c-8d0c9a4ba868"]}],"mendeley":{"formattedCitation":"Ma’ruf.","plainTextFormattedCitation":"Ma’ruf.","previouslyFormattedCitation":"Ma’ruf."},"properties":{"noteIndex":41},"schema":"https://github.com/citation-style-language/schema/raw/master/csl-citation.json"}</w:instrText>
      </w:r>
      <w:r w:rsidRPr="005F7846">
        <w:rPr>
          <w:rFonts w:asciiTheme="majorHAnsi" w:hAnsiTheme="majorHAnsi" w:cstheme="majorHAnsi"/>
        </w:rPr>
        <w:fldChar w:fldCharType="separate"/>
      </w:r>
      <w:r w:rsidRPr="005F7846">
        <w:rPr>
          <w:rFonts w:asciiTheme="majorHAnsi" w:hAnsiTheme="majorHAnsi" w:cstheme="majorHAnsi"/>
          <w:noProof/>
        </w:rPr>
        <w:t>Ma’ruf.</w:t>
      </w:r>
      <w:r w:rsidRPr="005F7846">
        <w:rPr>
          <w:rFonts w:asciiTheme="majorHAnsi" w:hAnsiTheme="majorHAnsi" w:cstheme="majorHAnsi"/>
        </w:rPr>
        <w:fldChar w:fldCharType="end"/>
      </w:r>
    </w:p>
  </w:footnote>
  <w:footnote w:id="42">
    <w:p w:rsidR="005F7846" w:rsidRPr="005F7846" w:rsidRDefault="005F7846" w:rsidP="005F7846">
      <w:pPr>
        <w:pStyle w:val="FootnoteText"/>
        <w:ind w:firstLine="284"/>
        <w:jc w:val="both"/>
        <w:rPr>
          <w:rFonts w:asciiTheme="majorHAnsi" w:hAnsiTheme="majorHAnsi" w:cstheme="majorHAnsi"/>
        </w:rPr>
      </w:pPr>
      <w:r w:rsidRPr="005F7846">
        <w:rPr>
          <w:rStyle w:val="FootnoteReference"/>
          <w:rFonts w:asciiTheme="majorHAnsi" w:hAnsiTheme="majorHAnsi" w:cstheme="majorHAnsi"/>
        </w:rPr>
        <w:footnoteRef/>
      </w:r>
      <w:r w:rsidRPr="005F7846">
        <w:rPr>
          <w:rFonts w:asciiTheme="majorHAnsi" w:hAnsiTheme="majorHAnsi" w:cstheme="majorHAnsi"/>
        </w:rPr>
        <w:t xml:space="preserve"> </w:t>
      </w:r>
      <w:r w:rsidRPr="005F7846">
        <w:rPr>
          <w:rFonts w:asciiTheme="majorHAnsi" w:hAnsiTheme="majorHAnsi" w:cstheme="majorHAnsi"/>
        </w:rPr>
        <w:fldChar w:fldCharType="begin" w:fldLock="1"/>
      </w:r>
      <w:r>
        <w:rPr>
          <w:rFonts w:asciiTheme="majorHAnsi" w:hAnsiTheme="majorHAnsi" w:cstheme="majorHAnsi"/>
        </w:rPr>
        <w:instrText>ADDIN CSL_CITATION {"citationItems":[{"id":"ITEM-1","itemData":{"author":[{"dropping-particle":"","family":"Izzati","given":"Nabiyla Risfa","non-dropping-particle":"","parse-names":false,"suffix":""},{"dropping-particle":"","family":"Muhammad","given":"Mas","non-dropping-particle":"","parse-names":false,"suffix":""},{"dropping-particle":"","family":"Sesunan","given":"Gibran","non-dropping-particle":"","parse-names":false,"suffix":""}],"container-title":"Bestuur","id":"ITEM-1","issue":"1","issued":{"date-parts":[["2022"]]},"page":"57-67","title":"‘Misclassified Partnership’ and the Impact of Legal Loophole on Workers","type":"article-journal","volume":"10"},"uris":["http://www.mendeley.com/documents/?uuid=f647d7f8-d000-48d7-bce1-45a969eb8fec"]}],"mendeley":{"formattedCitation":"Nabiyla Risfa Izzati, Mas Muhammad, and Gibran Sesunan, ‘“Misclassified Partnership” and the Impact of Legal Loophole on Workers’, &lt;i&gt;Bestuur&lt;/i&gt;, 10.1 (2022), 57–67.","plainTextFormattedCitation":"Nabiyla Risfa Izzati, Mas Muhammad, and Gibran Sesunan, ‘“Misclassified Partnership” and the Impact of Legal Loophole on Workers’, Bestuur, 10.1 (2022), 57–67.","previouslyFormattedCitation":"Nabiyla Risfa Izzati, Mas Muhammad, and Gibran Sesunan, ‘“Misclassified Partnership” and the Impact of Legal Loophole on Workers’, &lt;i&gt;Bestuur&lt;/i&gt;, 10.1 (2022), 57–67."},"properties":{"noteIndex":42},"schema":"https://github.com/citation-style-language/schema/raw/master/csl-citation.json"}</w:instrText>
      </w:r>
      <w:r w:rsidRPr="005F7846">
        <w:rPr>
          <w:rFonts w:asciiTheme="majorHAnsi" w:hAnsiTheme="majorHAnsi" w:cstheme="majorHAnsi"/>
        </w:rPr>
        <w:fldChar w:fldCharType="separate"/>
      </w:r>
      <w:r w:rsidRPr="005F7846">
        <w:rPr>
          <w:rFonts w:asciiTheme="majorHAnsi" w:hAnsiTheme="majorHAnsi" w:cstheme="majorHAnsi"/>
          <w:noProof/>
        </w:rPr>
        <w:t xml:space="preserve">Nabiyla Risfa Izzati, Mas Muhammad, and Gibran Sesunan, ‘“Misclassified Partnership” and the Impact of Legal Loophole on Workers’, </w:t>
      </w:r>
      <w:r w:rsidRPr="005F7846">
        <w:rPr>
          <w:rFonts w:asciiTheme="majorHAnsi" w:hAnsiTheme="majorHAnsi" w:cstheme="majorHAnsi"/>
          <w:i/>
          <w:noProof/>
        </w:rPr>
        <w:t>Bestuur</w:t>
      </w:r>
      <w:r w:rsidRPr="005F7846">
        <w:rPr>
          <w:rFonts w:asciiTheme="majorHAnsi" w:hAnsiTheme="majorHAnsi" w:cstheme="majorHAnsi"/>
          <w:noProof/>
        </w:rPr>
        <w:t>, 10.1 (2022), 57–67.</w:t>
      </w:r>
      <w:r w:rsidRPr="005F7846">
        <w:rPr>
          <w:rFonts w:asciiTheme="majorHAnsi" w:hAnsiTheme="majorHAnsi" w:cstheme="majorHAnsi"/>
        </w:rPr>
        <w:fldChar w:fldCharType="end"/>
      </w:r>
    </w:p>
  </w:footnote>
  <w:footnote w:id="43">
    <w:p w:rsidR="005F7846" w:rsidRPr="005F7846" w:rsidRDefault="005F7846" w:rsidP="005F7846">
      <w:pPr>
        <w:pStyle w:val="FootnoteText"/>
        <w:ind w:firstLine="284"/>
        <w:jc w:val="both"/>
        <w:rPr>
          <w:rFonts w:asciiTheme="majorHAnsi" w:hAnsiTheme="majorHAnsi" w:cstheme="majorHAnsi"/>
        </w:rPr>
      </w:pPr>
      <w:r w:rsidRPr="005F7846">
        <w:rPr>
          <w:rStyle w:val="FootnoteReference"/>
          <w:rFonts w:asciiTheme="majorHAnsi" w:hAnsiTheme="majorHAnsi" w:cstheme="majorHAnsi"/>
        </w:rPr>
        <w:footnoteRef/>
      </w:r>
      <w:r w:rsidRPr="005F7846">
        <w:rPr>
          <w:rFonts w:asciiTheme="majorHAnsi" w:hAnsiTheme="majorHAnsi" w:cstheme="majorHAnsi"/>
        </w:rPr>
        <w:t xml:space="preserve"> </w:t>
      </w:r>
      <w:r w:rsidRPr="005F7846">
        <w:rPr>
          <w:rFonts w:asciiTheme="majorHAnsi" w:hAnsiTheme="majorHAnsi" w:cstheme="majorHAnsi"/>
        </w:rPr>
        <w:fldChar w:fldCharType="begin" w:fldLock="1"/>
      </w:r>
      <w:r>
        <w:rPr>
          <w:rFonts w:asciiTheme="majorHAnsi" w:hAnsiTheme="majorHAnsi" w:cstheme="majorHAnsi"/>
        </w:rPr>
        <w:instrText>ADDIN CSL_CITATION {"citationItems":[{"id":"ITEM-1","itemData":{"author":[{"dropping-particle":"","family":"Petriella","given":"Yanita","non-dropping-particle":"","parse-names":false,"suffix":""}],"container-title":"ekonomi.bisnis.com","id":"ITEM-1","issued":{"date-parts":[["0"]]},"title":"Adu Cepat antara RUU Cipta Kerja dan RUU Minerba, Ini Kata Ahli Tambang","type":"webpage"},"uris":["http://www.mendeley.com/documents/?uuid=6ffdfc55-481b-42b3-9d2e-b75a028bf58c","http://www.mendeley.com/documents/?uuid=8dde4155-0324-40b9-8f6f-a27838e1f4ef","http://www.mendeley.com/documents/?uuid=04ded7e6-ce36-46f2-bd24-e0b6b9040747","http://www.mendeley.com/documents/?uuid=31ca5079-b776-43da-ba23-25d473e29fda"]}],"mendeley":{"formattedCitation":"Yanita Petriella, ‘Adu Cepat Antara RUU Cipta Kerja Dan RUU Minerba, Ini Kata Ahli Tambang’, &lt;i&gt;Ekonomi.Bisnis.Com&lt;/i&gt;.","plainTextFormattedCitation":"Yanita Petriella, ‘Adu Cepat Antara RUU Cipta Kerja Dan RUU Minerba, Ini Kata Ahli Tambang’, Ekonomi.Bisnis.Com.","previouslyFormattedCitation":"Yanita Petriella, ‘Adu Cepat Antara RUU Cipta Kerja Dan RUU Minerba, Ini Kata Ahli Tambang’, &lt;i&gt;Ekonomi.Bisnis.Com&lt;/i&gt;."},"properties":{"noteIndex":43},"schema":"https://github.com/citation-style-language/schema/raw/master/csl-citation.json"}</w:instrText>
      </w:r>
      <w:r w:rsidRPr="005F7846">
        <w:rPr>
          <w:rFonts w:asciiTheme="majorHAnsi" w:hAnsiTheme="majorHAnsi" w:cstheme="majorHAnsi"/>
        </w:rPr>
        <w:fldChar w:fldCharType="separate"/>
      </w:r>
      <w:r w:rsidRPr="005F7846">
        <w:rPr>
          <w:rFonts w:asciiTheme="majorHAnsi" w:hAnsiTheme="majorHAnsi" w:cstheme="majorHAnsi"/>
          <w:noProof/>
        </w:rPr>
        <w:t xml:space="preserve">Yanita Petriella, ‘Adu Cepat Antara RUU Cipta Kerja Dan RUU Minerba, Ini Kata Ahli Tambang’, </w:t>
      </w:r>
      <w:r w:rsidRPr="005F7846">
        <w:rPr>
          <w:rFonts w:asciiTheme="majorHAnsi" w:hAnsiTheme="majorHAnsi" w:cstheme="majorHAnsi"/>
          <w:i/>
          <w:noProof/>
        </w:rPr>
        <w:t>Ekonomi.Bisnis.Com</w:t>
      </w:r>
      <w:r w:rsidRPr="005F7846">
        <w:rPr>
          <w:rFonts w:asciiTheme="majorHAnsi" w:hAnsiTheme="majorHAnsi" w:cstheme="majorHAnsi"/>
          <w:noProof/>
        </w:rPr>
        <w:t>.</w:t>
      </w:r>
      <w:r w:rsidRPr="005F7846">
        <w:rPr>
          <w:rFonts w:asciiTheme="majorHAnsi" w:hAnsiTheme="majorHAnsi" w:cstheme="majorHAnsi"/>
        </w:rPr>
        <w:fldChar w:fldCharType="end"/>
      </w:r>
    </w:p>
  </w:footnote>
  <w:footnote w:id="44">
    <w:p w:rsidR="005F7846" w:rsidRPr="005F7846" w:rsidRDefault="005F7846" w:rsidP="005F7846">
      <w:pPr>
        <w:pStyle w:val="FootnoteText"/>
        <w:ind w:firstLine="284"/>
        <w:jc w:val="both"/>
        <w:rPr>
          <w:rFonts w:asciiTheme="majorHAnsi" w:hAnsiTheme="majorHAnsi" w:cstheme="majorHAnsi"/>
        </w:rPr>
      </w:pPr>
      <w:r w:rsidRPr="005F7846">
        <w:rPr>
          <w:rStyle w:val="FootnoteReference"/>
          <w:rFonts w:asciiTheme="majorHAnsi" w:hAnsiTheme="majorHAnsi" w:cstheme="majorHAnsi"/>
        </w:rPr>
        <w:footnoteRef/>
      </w:r>
      <w:r w:rsidRPr="005F7846">
        <w:rPr>
          <w:rFonts w:asciiTheme="majorHAnsi" w:hAnsiTheme="majorHAnsi" w:cstheme="majorHAnsi"/>
        </w:rPr>
        <w:t xml:space="preserve"> </w:t>
      </w:r>
      <w:r w:rsidRPr="005F7846">
        <w:rPr>
          <w:rFonts w:asciiTheme="majorHAnsi" w:hAnsiTheme="majorHAnsi" w:cstheme="majorHAnsi"/>
        </w:rPr>
        <w:fldChar w:fldCharType="begin" w:fldLock="1"/>
      </w:r>
      <w:r>
        <w:rPr>
          <w:rFonts w:asciiTheme="majorHAnsi" w:hAnsiTheme="majorHAnsi" w:cstheme="majorHAnsi"/>
        </w:rPr>
        <w:instrText>ADDIN CSL_CITATION {"citationItems":[{"id":"ITEM-1","itemData":{"DOI":"10.22373/justisia.v6i1.10610","ISSN":"2614-5642","abstract":"The ratification of Law Number 3 of 2020 (Revision of the Mining Law) on June 10, 2020 by President Joko Widodo raised a polemic so that several parties have filed a judicial review of the law. This phenomenon indicates that there are interests that are not accommodated in the Revision. The natural resource business as the sector with the greatest risk of human rights violations is in the spotlight whether the Revision are much better to guarantee human rights protection or not. The UN Guiding Principles on Business and Human Rights (UNGPs) is a recommendation that can be used as a parameter how human rights are protected on the Revision. This research is normative legal research using qualitative descriptive methods by combining statutory approaches and conceptual approaches. The results show that the absence of mandatory regulations and guidelines for human rights protection in domestic business activities is a factor in the low level of human rights protection in the Revision. Human Rights Protections by the State and Human Rights Respects by companies have not been comprehensively regulated, access to recovery for human rights impacts is still not maximal and needs to be developed as recommended in the UNGPs.","author":[{"dropping-particle":"","family":"Kholifah","given":"Ayu","non-dropping-particle":"","parse-names":false,"suffix":""}],"container-title":"Jurnal Justisia : Jurnal Ilmu Hukum, Perundang-undangan dan Pranata Sosial","id":"ITEM-1","issue":"1","issued":{"date-parts":[["2021","8"]]},"page":"26","title":"Menakar Perlindungan HAM Dalam Revisi UU Minerba Melalui UN Guiding Principles on Business and Human Rights","type":"article-journal","volume":"6"},"uris":["http://www.mendeley.com/documents/?uuid=891de9a3-5f18-4d1b-9294-db7efd153df5","http://www.mendeley.com/documents/?uuid=dcc8ccf3-16c3-4ed9-8a36-1e1681fb14cd"]}],"mendeley":{"formattedCitation":"Ayu Kholifah, ‘Menakar Perlindungan HAM Dalam Revisi UU Minerba Melalui UN Guiding Principles on Business and Human Rights’, &lt;i&gt;Jurnal Justisia : Jurnal Ilmu Hukum, Perundang-Undangan Dan Pranata Sosial&lt;/i&gt;, 6.1 (2021), 26 &lt;https://doi.org/10.22373/justisia.v6i1.10610&gt;.","plainTextFormattedCitation":"Ayu Kholifah, ‘Menakar Perlindungan HAM Dalam Revisi UU Minerba Melalui UN Guiding Principles on Business and Human Rights’, Jurnal Justisia : Jurnal Ilmu Hukum, Perundang-Undangan Dan Pranata Sosial, 6.1 (2021), 26 .","previouslyFormattedCitation":"Ayu Kholifah, ‘Menakar Perlindungan HAM Dalam Revisi UU Minerba Melalui UN Guiding Principles on Business and Human Rights’, &lt;i&gt;Jurnal Justisia : Jurnal Ilmu Hukum, Perundang-Undangan Dan Pranata Sosial&lt;/i&gt;, 6.1 (2021), 26 &lt;https://doi.org/10.22373/justisia.v6i1.10610&gt;."},"properties":{"noteIndex":44},"schema":"https://github.com/citation-style-language/schema/raw/master/csl-citation.json"}</w:instrText>
      </w:r>
      <w:r w:rsidRPr="005F7846">
        <w:rPr>
          <w:rFonts w:asciiTheme="majorHAnsi" w:hAnsiTheme="majorHAnsi" w:cstheme="majorHAnsi"/>
        </w:rPr>
        <w:fldChar w:fldCharType="separate"/>
      </w:r>
      <w:r w:rsidRPr="005F7846">
        <w:rPr>
          <w:rFonts w:asciiTheme="majorHAnsi" w:hAnsiTheme="majorHAnsi" w:cstheme="majorHAnsi"/>
          <w:noProof/>
        </w:rPr>
        <w:t xml:space="preserve">Ayu Kholifah, ‘Menakar Perlindungan HAM Dalam Revisi UU Minerba Melalui UN Guiding Principles on Business and Human Rights’, </w:t>
      </w:r>
      <w:r w:rsidRPr="005F7846">
        <w:rPr>
          <w:rFonts w:asciiTheme="majorHAnsi" w:hAnsiTheme="majorHAnsi" w:cstheme="majorHAnsi"/>
          <w:i/>
          <w:noProof/>
        </w:rPr>
        <w:t>Jurnal Justisia : Jurnal Ilmu Hukum, Perundang-Undangan Dan Pranata Sosial</w:t>
      </w:r>
      <w:r w:rsidRPr="005F7846">
        <w:rPr>
          <w:rFonts w:asciiTheme="majorHAnsi" w:hAnsiTheme="majorHAnsi" w:cstheme="majorHAnsi"/>
          <w:noProof/>
        </w:rPr>
        <w:t>, 6.1 (2021), 26 &lt;https://doi.org/10.22373/justisia.v6i1.10610&gt;.</w:t>
      </w:r>
      <w:r w:rsidRPr="005F7846">
        <w:rPr>
          <w:rFonts w:asciiTheme="majorHAnsi" w:hAnsiTheme="majorHAnsi" w:cstheme="majorHAnsi"/>
        </w:rPr>
        <w:fldChar w:fldCharType="end"/>
      </w:r>
    </w:p>
  </w:footnote>
  <w:footnote w:id="45">
    <w:p w:rsidR="005F7846" w:rsidRPr="005F7846" w:rsidRDefault="005F7846" w:rsidP="005F7846">
      <w:pPr>
        <w:pStyle w:val="FootnoteText"/>
        <w:ind w:firstLine="284"/>
        <w:jc w:val="both"/>
        <w:rPr>
          <w:rFonts w:asciiTheme="majorHAnsi" w:hAnsiTheme="majorHAnsi" w:cstheme="majorHAnsi"/>
        </w:rPr>
      </w:pPr>
      <w:r w:rsidRPr="005F7846">
        <w:rPr>
          <w:rStyle w:val="FootnoteReference"/>
          <w:rFonts w:asciiTheme="majorHAnsi" w:hAnsiTheme="majorHAnsi" w:cstheme="majorHAnsi"/>
        </w:rPr>
        <w:footnoteRef/>
      </w:r>
      <w:r w:rsidRPr="005F7846">
        <w:rPr>
          <w:rFonts w:asciiTheme="majorHAnsi" w:hAnsiTheme="majorHAnsi" w:cstheme="majorHAnsi"/>
        </w:rPr>
        <w:t xml:space="preserve"> </w:t>
      </w:r>
      <w:r w:rsidRPr="005F7846">
        <w:rPr>
          <w:rFonts w:asciiTheme="majorHAnsi" w:hAnsiTheme="majorHAnsi" w:cstheme="majorHAnsi"/>
        </w:rPr>
        <w:fldChar w:fldCharType="begin" w:fldLock="1"/>
      </w:r>
      <w:r>
        <w:rPr>
          <w:rFonts w:asciiTheme="majorHAnsi" w:hAnsiTheme="majorHAnsi" w:cstheme="majorHAnsi"/>
        </w:rPr>
        <w:instrText>ADDIN CSL_CITATION {"citationItems":[{"id":"ITEM-1","itemData":{"abstract":"… masyarakat sekitar tambang. Sengketa yang terjadi dalam bentuk tindak pidana, sengketa … mengelola sumber daya alam yang tersedia di wilayahnya, termasuk pengawasan dan …","author":[{"dropping-particle":"","family":"Liyus","given":"Herry","non-dropping-particle":"","parse-names":false,"suffix":""},{"dropping-particle":"","family":"Rahayu","given":"Sri","non-dropping-particle":"","parse-names":false,"suffix":""},{"dropping-particle":"","family":"Wahyudhi","given":"Dheny","non-dropping-particle":"","parse-names":false,"suffix":""}],"container-title":"Jurnal Inovatif","id":"ITEM-1","issue":"1","issued":{"date-parts":[["2019"]]},"page":"42-60","title":"Analisis Yuridis terhadap Tindak Pidana Pertambangan dalam Perspektif Perundang-Undangan Indonesia","type":"article-journal","volume":"XII"},"uris":["http://www.mendeley.com/documents/?uuid=da3f0eaa-f280-4d82-92b8-1093fb9d616b","http://www.mendeley.com/documents/?uuid=3e915919-2b0d-4192-8a18-2a73fd5ffd03"]}],"mendeley":{"formattedCitation":"Herry Liyus, Sri Rahayu, and Dheny Wahyudhi, ‘Analisis Yuridis Terhadap Tindak Pidana Pertambangan Dalam Perspektif Perundang-Undangan Indonesia’, &lt;i&gt;Jurnal Inovatif&lt;/i&gt;, XII.1 (2019), 42–60.","plainTextFormattedCitation":"Herry Liyus, Sri Rahayu, and Dheny Wahyudhi, ‘Analisis Yuridis Terhadap Tindak Pidana Pertambangan Dalam Perspektif Perundang-Undangan Indonesia’, Jurnal Inovatif, XII.1 (2019), 42–60.","previouslyFormattedCitation":"Herry Liyus, Sri Rahayu, and Dheny Wahyudhi, ‘Analisis Yuridis Terhadap Tindak Pidana Pertambangan Dalam Perspektif Perundang-Undangan Indonesia’, &lt;i&gt;Jurnal Inovatif&lt;/i&gt;, XII.1 (2019), 42–60."},"properties":{"noteIndex":45},"schema":"https://github.com/citation-style-language/schema/raw/master/csl-citation.json"}</w:instrText>
      </w:r>
      <w:r w:rsidRPr="005F7846">
        <w:rPr>
          <w:rFonts w:asciiTheme="majorHAnsi" w:hAnsiTheme="majorHAnsi" w:cstheme="majorHAnsi"/>
        </w:rPr>
        <w:fldChar w:fldCharType="separate"/>
      </w:r>
      <w:r w:rsidRPr="005F7846">
        <w:rPr>
          <w:rFonts w:asciiTheme="majorHAnsi" w:hAnsiTheme="majorHAnsi" w:cstheme="majorHAnsi"/>
          <w:noProof/>
        </w:rPr>
        <w:t xml:space="preserve">Herry Liyus, Sri Rahayu, and Dheny Wahyudhi, ‘Analisis Yuridis Terhadap Tindak Pidana Pertambangan Dalam Perspektif Perundang-Undangan Indonesia’, </w:t>
      </w:r>
      <w:r w:rsidRPr="005F7846">
        <w:rPr>
          <w:rFonts w:asciiTheme="majorHAnsi" w:hAnsiTheme="majorHAnsi" w:cstheme="majorHAnsi"/>
          <w:i/>
          <w:noProof/>
        </w:rPr>
        <w:t>Jurnal Inovatif</w:t>
      </w:r>
      <w:r w:rsidRPr="005F7846">
        <w:rPr>
          <w:rFonts w:asciiTheme="majorHAnsi" w:hAnsiTheme="majorHAnsi" w:cstheme="majorHAnsi"/>
          <w:noProof/>
        </w:rPr>
        <w:t>, XII.1 (2019), 42–60.</w:t>
      </w:r>
      <w:r w:rsidRPr="005F7846">
        <w:rPr>
          <w:rFonts w:asciiTheme="majorHAnsi" w:hAnsiTheme="majorHAnsi" w:cstheme="majorHAnsi"/>
        </w:rPr>
        <w:fldChar w:fldCharType="end"/>
      </w:r>
    </w:p>
  </w:footnote>
  <w:footnote w:id="46">
    <w:p w:rsidR="005F7846" w:rsidRPr="005F7846" w:rsidRDefault="005F7846" w:rsidP="005F7846">
      <w:pPr>
        <w:pStyle w:val="FootnoteText"/>
        <w:ind w:firstLine="284"/>
        <w:jc w:val="both"/>
        <w:rPr>
          <w:rFonts w:asciiTheme="majorHAnsi" w:hAnsiTheme="majorHAnsi" w:cstheme="majorHAnsi"/>
        </w:rPr>
      </w:pPr>
      <w:r w:rsidRPr="005F7846">
        <w:rPr>
          <w:rStyle w:val="FootnoteReference"/>
          <w:rFonts w:asciiTheme="majorHAnsi" w:hAnsiTheme="majorHAnsi" w:cstheme="majorHAnsi"/>
        </w:rPr>
        <w:footnoteRef/>
      </w:r>
      <w:r w:rsidRPr="005F7846">
        <w:rPr>
          <w:rFonts w:asciiTheme="majorHAnsi" w:hAnsiTheme="majorHAnsi" w:cstheme="majorHAnsi"/>
        </w:rPr>
        <w:t xml:space="preserve"> </w:t>
      </w:r>
      <w:r w:rsidRPr="005F7846">
        <w:rPr>
          <w:rFonts w:asciiTheme="majorHAnsi" w:hAnsiTheme="majorHAnsi" w:cstheme="majorHAnsi"/>
        </w:rPr>
        <w:fldChar w:fldCharType="begin" w:fldLock="1"/>
      </w:r>
      <w:r>
        <w:rPr>
          <w:rFonts w:asciiTheme="majorHAnsi" w:hAnsiTheme="majorHAnsi" w:cstheme="majorHAnsi"/>
        </w:rPr>
        <w:instrText>ADDIN CSL_CITATION {"citationItems":[{"id":"ITEM-1","itemData":{"author":[{"dropping-particle":"","family":"Joni","given":"Ahmad","non-dropping-particle":"","parse-names":false,"suffix":""}],"container-title":"Jurnal Gagasan Hukum","id":"ITEM-1","issue":"02","issued":{"date-parts":[["2020"]]},"title":"IMPLEMENTASI KEWAJIBAN REKLAMASI PEMEGANG IZIN USAHA PERTAMBANGAN ( IUP ) BERDASARKAN UNDANG- UNDANG NOMOR 4 TAHUN 2009 TENTANG PERTAMBANGAN MINERAL DAN BATUBARA DI PROVINSI RIAU IMPLEMENTATION OF RECLAMATION OBLIGATIONS OF MINING BUSINESS LICENSE HOLDERS","type":"article-journal","volume":"02"},"uris":["http://www.mendeley.com/documents/?uuid=e3558ea6-b3ca-4605-9ae6-bddd877b0df7","http://www.mendeley.com/documents/?uuid=33d395dd-ff0b-44f6-8066-78132b5de215","http://www.mendeley.com/documents/?uuid=3e236a41-ee3b-457a-90ce-a736c3ce19e0","http://www.mendeley.com/documents/?uuid=2f505a08-7184-48ed-aa1a-aa2da4fa9910"]}],"mendeley":{"formattedCitation":"Ahmad Joni, ‘IMPLEMENTASI KEWAJIBAN REKLAMASI PEMEGANG IZIN USAHA PERTAMBANGAN ( IUP ) BERDASARKAN UNDANG- UNDANG NOMOR 4 TAHUN 2009 TENTANG PERTAMBANGAN MINERAL DAN BATUBARA DI PROVINSI RIAU IMPLEMENTATION OF RECLAMATION OBLIGATIONS OF MINING BUSINESS LICENSE HOLDERS’, &lt;i&gt;Jurnal Gagasan Hukum&lt;/i&gt;, 02.02 (2020).","plainTextFormattedCitation":"Ahmad Joni, ‘IMPLEMENTASI KEWAJIBAN REKLAMASI PEMEGANG IZIN USAHA PERTAMBANGAN ( IUP ) BERDASARKAN UNDANG- UNDANG NOMOR 4 TAHUN 2009 TENTANG PERTAMBANGAN MINERAL DAN BATUBARA DI PROVINSI RIAU IMPLEMENTATION OF RECLAMATION OBLIGATIONS OF MINING BUSINESS LICENSE HOLDERS’, Jurnal Gagasan Hukum, 02.02 (2020).","previouslyFormattedCitation":"Ahmad Joni, ‘IMPLEMENTASI KEWAJIBAN REKLAMASI PEMEGANG IZIN USAHA PERTAMBANGAN ( IUP ) BERDASARKAN UNDANG- UNDANG NOMOR 4 TAHUN 2009 TENTANG PERTAMBANGAN MINERAL DAN BATUBARA DI PROVINSI RIAU IMPLEMENTATION OF RECLAMATION OBLIGATIONS OF MINING BUSINESS LICENSE HOLDERS’, &lt;i&gt;Jurnal Gagasan Hukum&lt;/i&gt;, 02.02 (2020)."},"properties":{"noteIndex":46},"schema":"https://github.com/citation-style-language/schema/raw/master/csl-citation.json"}</w:instrText>
      </w:r>
      <w:r w:rsidRPr="005F7846">
        <w:rPr>
          <w:rFonts w:asciiTheme="majorHAnsi" w:hAnsiTheme="majorHAnsi" w:cstheme="majorHAnsi"/>
        </w:rPr>
        <w:fldChar w:fldCharType="separate"/>
      </w:r>
      <w:r w:rsidRPr="005F7846">
        <w:rPr>
          <w:rFonts w:asciiTheme="majorHAnsi" w:hAnsiTheme="majorHAnsi" w:cstheme="majorHAnsi"/>
          <w:noProof/>
        </w:rPr>
        <w:t xml:space="preserve">Ahmad Joni, ‘IMPLEMENTASI KEWAJIBAN REKLAMASI PEMEGANG IZIN USAHA PERTAMBANGAN ( IUP ) BERDASARKAN UNDANG- UNDANG NOMOR 4 TAHUN 2009 TENTANG PERTAMBANGAN MINERAL DAN BATUBARA DI PROVINSI RIAU IMPLEMENTATION OF RECLAMATION OBLIGATIONS OF MINING BUSINESS LICENSE HOLDERS’, </w:t>
      </w:r>
      <w:r w:rsidRPr="005F7846">
        <w:rPr>
          <w:rFonts w:asciiTheme="majorHAnsi" w:hAnsiTheme="majorHAnsi" w:cstheme="majorHAnsi"/>
          <w:i/>
          <w:noProof/>
        </w:rPr>
        <w:t>Jurnal Gagasan Hukum</w:t>
      </w:r>
      <w:r w:rsidRPr="005F7846">
        <w:rPr>
          <w:rFonts w:asciiTheme="majorHAnsi" w:hAnsiTheme="majorHAnsi" w:cstheme="majorHAnsi"/>
          <w:noProof/>
        </w:rPr>
        <w:t>, 02.02 (2020).</w:t>
      </w:r>
      <w:r w:rsidRPr="005F7846">
        <w:rPr>
          <w:rFonts w:asciiTheme="majorHAnsi" w:hAnsiTheme="majorHAnsi" w:cstheme="majorHAnsi"/>
        </w:rPr>
        <w:fldChar w:fldCharType="end"/>
      </w:r>
    </w:p>
  </w:footnote>
  <w:footnote w:id="47">
    <w:p w:rsidR="005F7846" w:rsidRPr="005F7846" w:rsidRDefault="005F7846" w:rsidP="005F7846">
      <w:pPr>
        <w:pStyle w:val="FootnoteText"/>
        <w:ind w:firstLine="284"/>
        <w:jc w:val="both"/>
        <w:rPr>
          <w:rFonts w:asciiTheme="majorHAnsi" w:hAnsiTheme="majorHAnsi" w:cstheme="majorHAnsi"/>
        </w:rPr>
      </w:pPr>
      <w:r w:rsidRPr="005F7846">
        <w:rPr>
          <w:rStyle w:val="FootnoteReference"/>
          <w:rFonts w:asciiTheme="majorHAnsi" w:hAnsiTheme="majorHAnsi" w:cstheme="majorHAnsi"/>
        </w:rPr>
        <w:footnoteRef/>
      </w:r>
      <w:r w:rsidRPr="005F7846">
        <w:rPr>
          <w:rFonts w:asciiTheme="majorHAnsi" w:hAnsiTheme="majorHAnsi" w:cstheme="majorHAnsi"/>
        </w:rPr>
        <w:t xml:space="preserve"> </w:t>
      </w:r>
      <w:r w:rsidRPr="005F7846">
        <w:rPr>
          <w:rFonts w:asciiTheme="majorHAnsi" w:hAnsiTheme="majorHAnsi" w:cstheme="majorHAnsi"/>
        </w:rPr>
        <w:fldChar w:fldCharType="begin" w:fldLock="1"/>
      </w:r>
      <w:r>
        <w:rPr>
          <w:rFonts w:asciiTheme="majorHAnsi" w:hAnsiTheme="majorHAnsi" w:cstheme="majorHAnsi"/>
        </w:rPr>
        <w:instrText>ADDIN CSL_CITATION {"citationItems":[{"id":"ITEM-1","itemData":{"DOI":"10.29080/alard.v4i1.411","ISSN":"2549-1652","abstract":"Reklamasi adalah kegiatan pengelolaan tanah yang mencakup perbaikan kondisi fisik tanah (overburden) agar tidak terjadi longsor, pembuatan waduk untuk perbaikan kualitas air asam tambang yang beracun, yang kemudian dilanjutkan dengan kegiatan revegetasi. Kegiatan reklamasi penting dilakukan untuk memperbaiki lahan bekas tambang. Pada umumnya tanah di lahan bekas tambang mengandung kadar unsur hara yang rendah. Reklamasi dan revegetasi merupakan kegiatan yang dilakukan untuk memperbaiki kondisilahan pasca penambangan. (Pujawati, 2009). Dalam melaksanakan reklamasi, pemerintah mengeluarkan berbagai kebijakan guna memastikan bahwa setiap perusahaan wajib melaksanakan reklamasi dengan benar, baik dan sungguh-sungguh, serta menyetorkan dana jaminan reklamasi. Untuk merealisasikannya, perlu dilakukan adanya perizinan, yaitu setiap perusahaan yang melakukan kegiatan pertambangan harus segera merencanakan bentuk kegiatan pasca tambang (reklamasi) di atas areal tambang yang digunakan paling lambat satu bulan setelah tidak ada lagi kegiatan usaha pertambangan pada lahan yang terganggu. Selain itu, perlu juga dilakukan pengendalian lahan pasca tambang dengan memadukan pembenahan lahan, dan pemilihan jenis tanaman yang tepat, yaitu dengan kriteria berjenis local pioner cepat tumbuh, tahan terpapar matahari, cepat terdekomposisi, sistem perakaran yang baik dan bersimbiosis dengan mikroorganisme tertentu, mudah dan murah dalam perbanyakan, penanaman dan pemeliharaan. Kata Kunci: reklamasi, lahan, kebijakan, perizinan.","author":[{"dropping-particle":"","family":"Oktorina","given":"Sarita","non-dropping-particle":"","parse-names":false,"suffix":""}],"container-title":"Al-Ard: Jurnal Teknik Lingkungan","id":"ITEM-1","issue":"1","issued":{"date-parts":[["2018"]]},"page":"16-20","title":"Kebijakan Reklamasi Dan Revegetasi Lahan Bekas Tambang (Studi Kasus Tambang Batubara Indonesia)","type":"article-journal","volume":"4"},"uris":["http://www.mendeley.com/documents/?uuid=c63cd830-1bb8-4e5e-b525-114a111685cb","http://www.mendeley.com/documents/?uuid=609fe89d-337a-4c49-9563-84ad965aa937","http://www.mendeley.com/documents/?uuid=7686c7ef-5762-4d37-b655-9dd70adb28c2","http://www.mendeley.com/documents/?uuid=a5a7ddbe-89c7-4062-891a-b28ed1b7db39"]}],"mendeley":{"formattedCitation":"Sarita Oktorina, ‘Kebijakan Reklamasi Dan Revegetasi Lahan Bekas Tambang (Studi Kasus Tambang Batubara Indonesia)’, &lt;i&gt;Al-Ard: Jurnal Teknik Lingkungan&lt;/i&gt;, 4.1 (2018), 16–20 &lt;https://doi.org/10.29080/alard.v4i1.411&gt;.","plainTextFormattedCitation":"Sarita Oktorina, ‘Kebijakan Reklamasi Dan Revegetasi Lahan Bekas Tambang (Studi Kasus Tambang Batubara Indonesia)’, Al-Ard: Jurnal Teknik Lingkungan, 4.1 (2018), 16–20 .","previouslyFormattedCitation":"Sarita Oktorina, ‘Kebijakan Reklamasi Dan Revegetasi Lahan Bekas Tambang (Studi Kasus Tambang Batubara Indonesia)’, &lt;i&gt;Al-Ard: Jurnal Teknik Lingkungan&lt;/i&gt;, 4.1 (2018), 16–20 &lt;https://doi.org/10.29080/alard.v4i1.411&gt;."},"properties":{"noteIndex":47},"schema":"https://github.com/citation-style-language/schema/raw/master/csl-citation.json"}</w:instrText>
      </w:r>
      <w:r w:rsidRPr="005F7846">
        <w:rPr>
          <w:rFonts w:asciiTheme="majorHAnsi" w:hAnsiTheme="majorHAnsi" w:cstheme="majorHAnsi"/>
        </w:rPr>
        <w:fldChar w:fldCharType="separate"/>
      </w:r>
      <w:r w:rsidRPr="005F7846">
        <w:rPr>
          <w:rFonts w:asciiTheme="majorHAnsi" w:hAnsiTheme="majorHAnsi" w:cstheme="majorHAnsi"/>
          <w:noProof/>
        </w:rPr>
        <w:t xml:space="preserve">Sarita Oktorina, ‘Kebijakan Reklamasi Dan Revegetasi Lahan Bekas Tambang (Studi Kasus Tambang Batubara Indonesia)’, </w:t>
      </w:r>
      <w:r w:rsidRPr="005F7846">
        <w:rPr>
          <w:rFonts w:asciiTheme="majorHAnsi" w:hAnsiTheme="majorHAnsi" w:cstheme="majorHAnsi"/>
          <w:i/>
          <w:noProof/>
        </w:rPr>
        <w:t>Al-Ard: Jurnal Teknik Lingkungan</w:t>
      </w:r>
      <w:r w:rsidRPr="005F7846">
        <w:rPr>
          <w:rFonts w:asciiTheme="majorHAnsi" w:hAnsiTheme="majorHAnsi" w:cstheme="majorHAnsi"/>
          <w:noProof/>
        </w:rPr>
        <w:t>, 4.1 (2018), 16–20 &lt;https://doi.org/10.29080/alard.v4i1.411&gt;.</w:t>
      </w:r>
      <w:r w:rsidRPr="005F7846">
        <w:rPr>
          <w:rFonts w:asciiTheme="majorHAnsi" w:hAnsiTheme="majorHAnsi" w:cstheme="majorHAnsi"/>
        </w:rPr>
        <w:fldChar w:fldCharType="end"/>
      </w:r>
    </w:p>
  </w:footnote>
  <w:footnote w:id="48">
    <w:p w:rsidR="005F7846" w:rsidRPr="005F7846" w:rsidRDefault="005F7846" w:rsidP="005F7846">
      <w:pPr>
        <w:pStyle w:val="FootnoteText"/>
        <w:ind w:firstLine="284"/>
        <w:jc w:val="both"/>
        <w:rPr>
          <w:rFonts w:asciiTheme="majorHAnsi" w:hAnsiTheme="majorHAnsi" w:cstheme="majorHAnsi"/>
        </w:rPr>
      </w:pPr>
      <w:r w:rsidRPr="005F7846">
        <w:rPr>
          <w:rStyle w:val="FootnoteReference"/>
          <w:rFonts w:asciiTheme="majorHAnsi" w:hAnsiTheme="majorHAnsi" w:cstheme="majorHAnsi"/>
        </w:rPr>
        <w:footnoteRef/>
      </w:r>
      <w:r w:rsidRPr="005F7846">
        <w:rPr>
          <w:rFonts w:asciiTheme="majorHAnsi" w:hAnsiTheme="majorHAnsi" w:cstheme="majorHAnsi"/>
        </w:rPr>
        <w:t xml:space="preserve"> </w:t>
      </w:r>
      <w:r w:rsidRPr="005F7846">
        <w:rPr>
          <w:rFonts w:asciiTheme="majorHAnsi" w:hAnsiTheme="majorHAnsi" w:cstheme="majorHAnsi"/>
        </w:rPr>
        <w:fldChar w:fldCharType="begin" w:fldLock="1"/>
      </w:r>
      <w:r>
        <w:rPr>
          <w:rFonts w:asciiTheme="majorHAnsi" w:hAnsiTheme="majorHAnsi" w:cstheme="majorHAnsi"/>
        </w:rPr>
        <w:instrText>ADDIN CSL_CITATION {"citationItems":[{"id":"ITEM-1","itemData":{"ISSN":"2598-6015","abstract":"Reclamation is an activity aimed at improving or managing the use of disturbed land as a result of mining business activities, in order to be functional and efficient according to its allocation. Mining reclamation activities should be carefully planned so that the land can be utilized optimally by the government and communities around the mine. Reclamation in Indonesia has been done in several mining areas. Reclamation activities that have been carried out, among others, exist in three regions in Indonesia, namely in Jambi, Bangka and South Kalimantan are considered less effective, due to lack of public participation and errors of reclamation technology. To avoid obstacles from reclamation, an effective reclamation activity is required. In general, reclamation can be done in three stages: land preparation, planting and maintenance.","author":[{"dropping-particle":"","family":"Munir","given":"Misbakhul","non-dropping-particle":"","parse-names":false,"suffix":""},{"dropping-particle":"","family":"Setyowati","given":"RR Diah Nugraheni Setyowati","non-dropping-particle":"","parse-names":false,"suffix":""}],"container-title":"Klorofil","id":"ITEM-1","issue":"1","issued":{"date-parts":[["2017"]]},"page":"11-16","title":"Kajian Reklamasi Lahan Pasca Tambang di Jambi, Bangka, dan Kalimantan Selatan","type":"article-journal","volume":"1"},"uris":["http://www.mendeley.com/documents/?uuid=ad5ded62-333b-47c5-a082-aa46f8fb1f7d","http://www.mendeley.com/documents/?uuid=056a30c7-d488-4954-80b8-08d262b73416","http://www.mendeley.com/documents/?uuid=cf350434-7bc3-4c52-a9c5-c3c66729f91c","http://www.mendeley.com/documents/?uuid=dcc767f7-e46e-4b49-919a-acf8c81b0fc3"]}],"mendeley":{"formattedCitation":"Misbakhul Munir and RR Diah Nugraheni Setyowati Setyowati, ‘Kajian Reklamasi Lahan Pasca Tambang Di Jambi, Bangka, Dan Kalimantan Selatan’, &lt;i&gt;Klorofil&lt;/i&gt;, 1.1 (2017), 11–16.","plainTextFormattedCitation":"Misbakhul Munir and RR Diah Nugraheni Setyowati Setyowati, ‘Kajian Reklamasi Lahan Pasca Tambang Di Jambi, Bangka, Dan Kalimantan Selatan’, Klorofil, 1.1 (2017), 11–16.","previouslyFormattedCitation":"Misbakhul Munir and RR Diah Nugraheni Setyowati Setyowati, ‘Kajian Reklamasi Lahan Pasca Tambang Di Jambi, Bangka, Dan Kalimantan Selatan’, &lt;i&gt;Klorofil&lt;/i&gt;, 1.1 (2017), 11–16."},"properties":{"noteIndex":48},"schema":"https://github.com/citation-style-language/schema/raw/master/csl-citation.json"}</w:instrText>
      </w:r>
      <w:r w:rsidRPr="005F7846">
        <w:rPr>
          <w:rFonts w:asciiTheme="majorHAnsi" w:hAnsiTheme="majorHAnsi" w:cstheme="majorHAnsi"/>
        </w:rPr>
        <w:fldChar w:fldCharType="separate"/>
      </w:r>
      <w:r w:rsidRPr="005F7846">
        <w:rPr>
          <w:rFonts w:asciiTheme="majorHAnsi" w:hAnsiTheme="majorHAnsi" w:cstheme="majorHAnsi"/>
          <w:noProof/>
        </w:rPr>
        <w:t xml:space="preserve">Misbakhul Munir and RR Diah Nugraheni Setyowati Setyowati, ‘Kajian Reklamasi Lahan Pasca Tambang Di Jambi, Bangka, Dan Kalimantan Selatan’, </w:t>
      </w:r>
      <w:r w:rsidRPr="005F7846">
        <w:rPr>
          <w:rFonts w:asciiTheme="majorHAnsi" w:hAnsiTheme="majorHAnsi" w:cstheme="majorHAnsi"/>
          <w:i/>
          <w:noProof/>
        </w:rPr>
        <w:t>Klorofil</w:t>
      </w:r>
      <w:r w:rsidRPr="005F7846">
        <w:rPr>
          <w:rFonts w:asciiTheme="majorHAnsi" w:hAnsiTheme="majorHAnsi" w:cstheme="majorHAnsi"/>
          <w:noProof/>
        </w:rPr>
        <w:t>, 1.1 (2017), 11–16.</w:t>
      </w:r>
      <w:r w:rsidRPr="005F7846">
        <w:rPr>
          <w:rFonts w:asciiTheme="majorHAnsi" w:hAnsiTheme="majorHAnsi" w:cstheme="majorHAnsi"/>
        </w:rPr>
        <w:fldChar w:fldCharType="end"/>
      </w:r>
    </w:p>
  </w:footnote>
  <w:footnote w:id="49">
    <w:p w:rsidR="005F7846" w:rsidRPr="005F7846" w:rsidRDefault="005F7846" w:rsidP="005F7846">
      <w:pPr>
        <w:pStyle w:val="FootnoteText"/>
        <w:ind w:firstLine="284"/>
        <w:jc w:val="both"/>
        <w:rPr>
          <w:rFonts w:asciiTheme="majorHAnsi" w:hAnsiTheme="majorHAnsi" w:cstheme="majorHAnsi"/>
        </w:rPr>
      </w:pPr>
      <w:r w:rsidRPr="005F7846">
        <w:rPr>
          <w:rStyle w:val="FootnoteReference"/>
          <w:rFonts w:asciiTheme="majorHAnsi" w:hAnsiTheme="majorHAnsi" w:cstheme="majorHAnsi"/>
        </w:rPr>
        <w:footnoteRef/>
      </w:r>
      <w:r w:rsidRPr="005F7846">
        <w:rPr>
          <w:rFonts w:asciiTheme="majorHAnsi" w:hAnsiTheme="majorHAnsi" w:cstheme="majorHAnsi"/>
        </w:rPr>
        <w:t xml:space="preserve"> </w:t>
      </w:r>
      <w:r w:rsidRPr="005F7846">
        <w:rPr>
          <w:rFonts w:asciiTheme="majorHAnsi" w:hAnsiTheme="majorHAnsi" w:cstheme="majorHAnsi"/>
        </w:rPr>
        <w:fldChar w:fldCharType="begin" w:fldLock="1"/>
      </w:r>
      <w:r>
        <w:rPr>
          <w:rFonts w:asciiTheme="majorHAnsi" w:hAnsiTheme="majorHAnsi" w:cstheme="majorHAnsi"/>
        </w:rPr>
        <w:instrText>ADDIN CSL_CITATION {"citationItems":[{"id":"ITEM-1","itemData":{"author":[{"dropping-particle":"","family":"Umah","given":"Anisatul","non-dropping-particle":"","parse-names":false,"suffix":""}],"container-title":"CNBC Indonesia","id":"ITEM-1","issued":{"date-parts":[["2021"]]},"title":"Ribuan Lubang Tambang Tak Direklamasi?Begini Data ESDM","type":"webpage"},"uris":["http://www.mendeley.com/documents/?uuid=d1e29244-f8aa-4ba2-ae14-55d7f82db76c","http://www.mendeley.com/documents/?uuid=3975bd22-6197-44f9-9dce-57eb6da2e4d4","http://www.mendeley.com/documents/?uuid=faf6ac98-f3b4-4e8e-a681-1cb54ecbc88b","http://www.mendeley.com/documents/?uuid=d3799899-4e77-4f44-974e-e0e890211db9"]}],"mendeley":{"formattedCitation":"Anisatul Umah, ‘Ribuan Lubang Tambang Tak Direklamasi?Begini Data ESDM’, &lt;i&gt;CNBC Indonesia&lt;/i&gt;, 2021.","plainTextFormattedCitation":"Anisatul Umah, ‘Ribuan Lubang Tambang Tak Direklamasi?Begini Data ESDM’, CNBC Indonesia, 2021.","previouslyFormattedCitation":"Anisatul Umah, ‘Ribuan Lubang Tambang Tak Direklamasi?Begini Data ESDM’, &lt;i&gt;CNBC Indonesia&lt;/i&gt;, 2021."},"properties":{"noteIndex":49},"schema":"https://github.com/citation-style-language/schema/raw/master/csl-citation.json"}</w:instrText>
      </w:r>
      <w:r w:rsidRPr="005F7846">
        <w:rPr>
          <w:rFonts w:asciiTheme="majorHAnsi" w:hAnsiTheme="majorHAnsi" w:cstheme="majorHAnsi"/>
        </w:rPr>
        <w:fldChar w:fldCharType="separate"/>
      </w:r>
      <w:r w:rsidRPr="005F7846">
        <w:rPr>
          <w:rFonts w:asciiTheme="majorHAnsi" w:hAnsiTheme="majorHAnsi" w:cstheme="majorHAnsi"/>
          <w:noProof/>
        </w:rPr>
        <w:t xml:space="preserve">Anisatul Umah, ‘Ribuan Lubang Tambang Tak Direklamasi?Begini Data ESDM’, </w:t>
      </w:r>
      <w:r w:rsidRPr="005F7846">
        <w:rPr>
          <w:rFonts w:asciiTheme="majorHAnsi" w:hAnsiTheme="majorHAnsi" w:cstheme="majorHAnsi"/>
          <w:i/>
          <w:noProof/>
        </w:rPr>
        <w:t>CNBC Indonesia</w:t>
      </w:r>
      <w:r w:rsidRPr="005F7846">
        <w:rPr>
          <w:rFonts w:asciiTheme="majorHAnsi" w:hAnsiTheme="majorHAnsi" w:cstheme="majorHAnsi"/>
          <w:noProof/>
        </w:rPr>
        <w:t>, 2021.</w:t>
      </w:r>
      <w:r w:rsidRPr="005F7846">
        <w:rPr>
          <w:rFonts w:asciiTheme="majorHAnsi" w:hAnsiTheme="majorHAnsi" w:cstheme="majorHAnsi"/>
        </w:rPr>
        <w:fldChar w:fldCharType="end"/>
      </w:r>
    </w:p>
  </w:footnote>
  <w:footnote w:id="50">
    <w:p w:rsidR="005F7846" w:rsidRPr="005F7846" w:rsidRDefault="005F7846" w:rsidP="005F7846">
      <w:pPr>
        <w:pStyle w:val="FootnoteText"/>
        <w:ind w:firstLine="284"/>
        <w:jc w:val="both"/>
        <w:rPr>
          <w:rFonts w:asciiTheme="majorHAnsi" w:hAnsiTheme="majorHAnsi" w:cstheme="majorHAnsi"/>
        </w:rPr>
      </w:pPr>
      <w:r w:rsidRPr="005F7846">
        <w:rPr>
          <w:rStyle w:val="FootnoteReference"/>
          <w:rFonts w:asciiTheme="majorHAnsi" w:hAnsiTheme="majorHAnsi" w:cstheme="majorHAnsi"/>
        </w:rPr>
        <w:footnoteRef/>
      </w:r>
      <w:r w:rsidRPr="005F7846">
        <w:rPr>
          <w:rFonts w:asciiTheme="majorHAnsi" w:hAnsiTheme="majorHAnsi" w:cstheme="majorHAnsi"/>
        </w:rPr>
        <w:t xml:space="preserve"> </w:t>
      </w:r>
      <w:r w:rsidRPr="005F7846">
        <w:rPr>
          <w:rFonts w:asciiTheme="majorHAnsi" w:hAnsiTheme="majorHAnsi" w:cstheme="majorHAnsi"/>
        </w:rPr>
        <w:fldChar w:fldCharType="begin" w:fldLock="1"/>
      </w:r>
      <w:r>
        <w:rPr>
          <w:rFonts w:asciiTheme="majorHAnsi" w:hAnsiTheme="majorHAnsi" w:cstheme="majorHAnsi"/>
        </w:rPr>
        <w:instrText>ADDIN CSL_CITATION {"citationItems":[{"id":"ITEM-1","itemData":{"ISSN":"2686-3553","abstract":"Terdapat 3500 titik lubang pasca penambangan batu bara di Kalimantan Timur atau setidaknya 8 juta hektar lahan pasca penambangan di Indonesia hingga saat ini belum dilakukan reklamasi. Akibatnya, rentang 2011 -2018, terdapat 32 orang meninggal di Kalimnatan Timur yang didominasi anak-anak, dan secara nasional tercatat 115 jiwa meninggal akibat tenggelam di lubang bekas tambang. Ini tentu sangat memperihatinkan mengingat Undang-Undang Nomor 4 Tahun 2009 Tentang Pertambangan Mineral dan Batubara dan Peraturan Pemerintah Nomor 78 Tahun 2010 Tentang Reklamasi dan Pascatambang, mewajibkan pelaku usaha untuk melakukan reklamasi paska penambangan. Bahkan, ada uang jaminan yang ditahan sebagai komitmen pelaku usaha untuk memulihakan dan memperbaiki lahan sesuai dengan peruntukannya. Pelaksanaan pengawasan reklamasi merupakan wewenang pemerintahan sesuai wilayah kewenangannya, dan jika reklamasi tidak dilakukan oleh pengusaha, pemerintah dapat menunjuk pihak ketiga untuk melaksanakan reklamasi dengan dana jaminan reklamasi. Semestinya, jika pengawasan dilakukan dengan benar tidak perlu ada ratusan jiwa yang meninggal sia-sia. Sayangnya, kepentingan lingkungan hidup seringkali diabaikan dan dikalahkan oleh kepentingan ekonomi dan politik, berbagai aturan tentang lingkungan hidup dan reklamasi paska penambangan harusnya mampu memaksa pihak-pihak terkait untuk melaksanakan perintah peraturan perundang-undangan. Atas persolaan darurat ini, konsep ekokrasi muncul sebagai upaya untuk memberikan perlindungan hukum terhadap lingkungan hidup.","author":[{"dropping-particle":"","family":"Mufidah","given":"N. Zakiyyatul","non-dropping-particle":"","parse-names":false,"suffix":""},{"dropping-particle":"","family":"Habibi","given":"Miftachur R.","non-dropping-particle":"","parse-names":false,"suffix":""}],"container-title":"Simposium Hukum Indonesia","id":"ITEM-1","issue":"1","issued":{"date-parts":[["2019"]]},"page":"574-586","title":"Simposium Hukum Indonesia","type":"article-journal","volume":"1"},"uris":["http://www.mendeley.com/documents/?uuid=be841795-607c-4388-a5bc-ff4160e0bf35","http://www.mendeley.com/documents/?uuid=46793117-7ccc-4bfd-b87f-c571f9f02176","http://www.mendeley.com/documents/?uuid=5d9940ef-28d2-43da-b125-44c613b01820","http://www.mendeley.com/documents/?uuid=ca8b48c4-3acb-4c48-82df-610477725b7e"]}],"mendeley":{"formattedCitation":"N. Zakiyyatul Mufidah and Miftachur R. Habibi, ‘Simposium Hukum Indonesia’, &lt;i&gt;Simposium Hukum Indonesia&lt;/i&gt;, 1.1 (2019), 574–86.","plainTextFormattedCitation":"N. Zakiyyatul Mufidah and Miftachur R. Habibi, ‘Simposium Hukum Indonesia’, Simposium Hukum Indonesia, 1.1 (2019), 574–86.","previouslyFormattedCitation":"N. Zakiyyatul Mufidah and Miftachur R. Habibi, ‘Simposium Hukum Indonesia’, &lt;i&gt;Simposium Hukum Indonesia&lt;/i&gt;, 1.1 (2019), 574–86."},"properties":{"noteIndex":50},"schema":"https://github.com/citation-style-language/schema/raw/master/csl-citation.json"}</w:instrText>
      </w:r>
      <w:r w:rsidRPr="005F7846">
        <w:rPr>
          <w:rFonts w:asciiTheme="majorHAnsi" w:hAnsiTheme="majorHAnsi" w:cstheme="majorHAnsi"/>
        </w:rPr>
        <w:fldChar w:fldCharType="separate"/>
      </w:r>
      <w:r w:rsidRPr="005F7846">
        <w:rPr>
          <w:rFonts w:asciiTheme="majorHAnsi" w:hAnsiTheme="majorHAnsi" w:cstheme="majorHAnsi"/>
          <w:noProof/>
        </w:rPr>
        <w:t xml:space="preserve">N. Zakiyyatul Mufidah and Miftachur R. Habibi, ‘Simposium Hukum Indonesia’, </w:t>
      </w:r>
      <w:r w:rsidRPr="005F7846">
        <w:rPr>
          <w:rFonts w:asciiTheme="majorHAnsi" w:hAnsiTheme="majorHAnsi" w:cstheme="majorHAnsi"/>
          <w:i/>
          <w:noProof/>
        </w:rPr>
        <w:t>Simposium Hukum Indonesia</w:t>
      </w:r>
      <w:r w:rsidRPr="005F7846">
        <w:rPr>
          <w:rFonts w:asciiTheme="majorHAnsi" w:hAnsiTheme="majorHAnsi" w:cstheme="majorHAnsi"/>
          <w:noProof/>
        </w:rPr>
        <w:t>, 1.1 (2019), 574–86.</w:t>
      </w:r>
      <w:r w:rsidRPr="005F7846">
        <w:rPr>
          <w:rFonts w:asciiTheme="majorHAnsi" w:hAnsiTheme="majorHAnsi" w:cstheme="majorHAnsi"/>
        </w:rPr>
        <w:fldChar w:fldCharType="end"/>
      </w:r>
    </w:p>
  </w:footnote>
  <w:footnote w:id="51">
    <w:p w:rsidR="005F7846" w:rsidRPr="005F7846" w:rsidRDefault="005F7846" w:rsidP="005F7846">
      <w:pPr>
        <w:pStyle w:val="FootnoteText"/>
        <w:ind w:firstLine="284"/>
        <w:jc w:val="both"/>
        <w:rPr>
          <w:rFonts w:asciiTheme="majorHAnsi" w:hAnsiTheme="majorHAnsi" w:cstheme="majorHAnsi"/>
        </w:rPr>
      </w:pPr>
      <w:r w:rsidRPr="005F7846">
        <w:rPr>
          <w:rStyle w:val="FootnoteReference"/>
          <w:rFonts w:asciiTheme="majorHAnsi" w:hAnsiTheme="majorHAnsi" w:cstheme="majorHAnsi"/>
        </w:rPr>
        <w:footnoteRef/>
      </w:r>
      <w:r w:rsidRPr="005F7846">
        <w:rPr>
          <w:rFonts w:asciiTheme="majorHAnsi" w:hAnsiTheme="majorHAnsi" w:cstheme="majorHAnsi"/>
        </w:rPr>
        <w:t xml:space="preserve"> </w:t>
      </w:r>
      <w:r w:rsidRPr="005F7846">
        <w:rPr>
          <w:rFonts w:asciiTheme="majorHAnsi" w:hAnsiTheme="majorHAnsi" w:cstheme="majorHAnsi"/>
        </w:rPr>
        <w:fldChar w:fldCharType="begin" w:fldLock="1"/>
      </w:r>
      <w:r>
        <w:rPr>
          <w:rFonts w:asciiTheme="majorHAnsi" w:hAnsiTheme="majorHAnsi" w:cstheme="majorHAnsi"/>
        </w:rPr>
        <w:instrText>ADDIN CSL_CITATION {"citationItems":[{"id":"ITEM-1","itemData":{"author":[{"dropping-particle":"","family":"Sam","given":"","non-dropping-particle":"","parse-names":false,"suffix":""}],"container-title":"Eksplorasi.id","id":"ITEM-1","issued":{"date-parts":[["2019"]]},"title":"Ribuan Perusahaan Tambang Belum Setor Dana Jaminan Reklamasi dan Pascatambang","type":"webpage"},"uris":["http://www.mendeley.com/documents/?uuid=bca80d43-9f21-4523-a839-4b2c18f9caa4","http://www.mendeley.com/documents/?uuid=306c010b-5e5a-426f-aa73-4f7dd321238e","http://www.mendeley.com/documents/?uuid=25d25793-cab6-4ade-8205-30fa292d6c02","http://www.mendeley.com/documents/?uuid=f7ca6b8b-1382-4c34-acba-06d93759e966"]}],"mendeley":{"formattedCitation":"Sam, ‘Ribuan Perusahaan Tambang Belum Setor Dana Jaminan Reklamasi Dan Pascatambang’, &lt;i&gt;Eksplorasi.Id&lt;/i&gt;, 2019.","plainTextFormattedCitation":"Sam, ‘Ribuan Perusahaan Tambang Belum Setor Dana Jaminan Reklamasi Dan Pascatambang’, Eksplorasi.Id, 2019.","previouslyFormattedCitation":"Sam, ‘Ribuan Perusahaan Tambang Belum Setor Dana Jaminan Reklamasi Dan Pascatambang’, &lt;i&gt;Eksplorasi.Id&lt;/i&gt;, 2019."},"properties":{"noteIndex":51},"schema":"https://github.com/citation-style-language/schema/raw/master/csl-citation.json"}</w:instrText>
      </w:r>
      <w:r w:rsidRPr="005F7846">
        <w:rPr>
          <w:rFonts w:asciiTheme="majorHAnsi" w:hAnsiTheme="majorHAnsi" w:cstheme="majorHAnsi"/>
        </w:rPr>
        <w:fldChar w:fldCharType="separate"/>
      </w:r>
      <w:r w:rsidRPr="005F7846">
        <w:rPr>
          <w:rFonts w:asciiTheme="majorHAnsi" w:hAnsiTheme="majorHAnsi" w:cstheme="majorHAnsi"/>
          <w:noProof/>
        </w:rPr>
        <w:t xml:space="preserve">Sam, ‘Ribuan Perusahaan Tambang Belum Setor Dana Jaminan Reklamasi Dan Pascatambang’, </w:t>
      </w:r>
      <w:r w:rsidRPr="005F7846">
        <w:rPr>
          <w:rFonts w:asciiTheme="majorHAnsi" w:hAnsiTheme="majorHAnsi" w:cstheme="majorHAnsi"/>
          <w:i/>
          <w:noProof/>
        </w:rPr>
        <w:t>Eksplorasi.Id</w:t>
      </w:r>
      <w:r w:rsidRPr="005F7846">
        <w:rPr>
          <w:rFonts w:asciiTheme="majorHAnsi" w:hAnsiTheme="majorHAnsi" w:cstheme="majorHAnsi"/>
          <w:noProof/>
        </w:rPr>
        <w:t>, 2019.</w:t>
      </w:r>
      <w:r w:rsidRPr="005F7846">
        <w:rPr>
          <w:rFonts w:asciiTheme="majorHAnsi" w:hAnsiTheme="majorHAnsi" w:cstheme="majorHAnsi"/>
        </w:rPr>
        <w:fldChar w:fldCharType="end"/>
      </w:r>
    </w:p>
  </w:footnote>
  <w:footnote w:id="52">
    <w:p w:rsidR="005F7846" w:rsidRPr="005F7846" w:rsidRDefault="005F7846" w:rsidP="005F7846">
      <w:pPr>
        <w:pStyle w:val="FootnoteText"/>
        <w:ind w:firstLine="284"/>
        <w:jc w:val="both"/>
        <w:rPr>
          <w:rFonts w:asciiTheme="majorHAnsi" w:hAnsiTheme="majorHAnsi" w:cstheme="majorHAnsi"/>
        </w:rPr>
      </w:pPr>
      <w:r w:rsidRPr="005F7846">
        <w:rPr>
          <w:rStyle w:val="FootnoteReference"/>
          <w:rFonts w:asciiTheme="majorHAnsi" w:hAnsiTheme="majorHAnsi" w:cstheme="majorHAnsi"/>
        </w:rPr>
        <w:footnoteRef/>
      </w:r>
      <w:r w:rsidRPr="005F7846">
        <w:rPr>
          <w:rFonts w:asciiTheme="majorHAnsi" w:hAnsiTheme="majorHAnsi" w:cstheme="majorHAnsi"/>
        </w:rPr>
        <w:t xml:space="preserve"> </w:t>
      </w:r>
      <w:r w:rsidRPr="005F7846">
        <w:rPr>
          <w:rFonts w:asciiTheme="majorHAnsi" w:hAnsiTheme="majorHAnsi" w:cstheme="majorHAnsi"/>
        </w:rPr>
        <w:fldChar w:fldCharType="begin" w:fldLock="1"/>
      </w:r>
      <w:r>
        <w:rPr>
          <w:rFonts w:asciiTheme="majorHAnsi" w:hAnsiTheme="majorHAnsi" w:cstheme="majorHAnsi"/>
        </w:rPr>
        <w:instrText>ADDIN CSL_CITATION {"citationItems":[{"id":"ITEM-1","itemData":{"author":[{"dropping-particle":"","family":"Umah","given":"Anisatul","non-dropping-particle":"","parse-names":false,"suffix":""}],"container-title":"CNBC Indonesia","id":"ITEM-1","issued":{"date-parts":[["2020"]]},"title":"814 Lubang Tambang di Kalses disebut Tak Direklamasi, Serius?","type":"webpage"},"uris":["http://www.mendeley.com/documents/?uuid=9cb877b1-213c-43f4-800a-ac8767531b40","http://www.mendeley.com/documents/?uuid=20f789dd-81f3-4ab3-8a57-bc9b727f8584","http://www.mendeley.com/documents/?uuid=cad0897f-c39e-4b57-ae1d-c9cec67b288f","http://www.mendeley.com/documents/?uuid=cbd8c24a-44f6-4959-9f11-4ec37a6d375d"]}],"mendeley":{"formattedCitation":"Umah, ‘814 Lubang Tambang Di Kalses Disebut Tak Direklamasi, Serius?’","plainTextFormattedCitation":"Umah, ‘814 Lubang Tambang Di Kalses Disebut Tak Direklamasi, Serius?’","previouslyFormattedCitation":"Umah, ‘814 Lubang Tambang Di Kalses Disebut Tak Direklamasi, Serius?’"},"properties":{"noteIndex":52},"schema":"https://github.com/citation-style-language/schema/raw/master/csl-citation.json"}</w:instrText>
      </w:r>
      <w:r w:rsidRPr="005F7846">
        <w:rPr>
          <w:rFonts w:asciiTheme="majorHAnsi" w:hAnsiTheme="majorHAnsi" w:cstheme="majorHAnsi"/>
        </w:rPr>
        <w:fldChar w:fldCharType="separate"/>
      </w:r>
      <w:r w:rsidRPr="005F7846">
        <w:rPr>
          <w:rFonts w:asciiTheme="majorHAnsi" w:hAnsiTheme="majorHAnsi" w:cstheme="majorHAnsi"/>
          <w:noProof/>
        </w:rPr>
        <w:t>Umah, ‘814 Lubang Tambang Di Kalses Disebut Tak Direklamasi, Serius?’</w:t>
      </w:r>
      <w:r w:rsidRPr="005F7846">
        <w:rPr>
          <w:rFonts w:asciiTheme="majorHAnsi" w:hAnsiTheme="majorHAnsi" w:cstheme="majorHAnsi"/>
        </w:rPr>
        <w:fldChar w:fldCharType="end"/>
      </w:r>
    </w:p>
  </w:footnote>
  <w:footnote w:id="53">
    <w:p w:rsidR="005F7846" w:rsidRPr="005F7846" w:rsidRDefault="005F7846" w:rsidP="005F7846">
      <w:pPr>
        <w:pStyle w:val="FootnoteText"/>
        <w:ind w:firstLine="284"/>
        <w:jc w:val="both"/>
        <w:rPr>
          <w:rFonts w:asciiTheme="majorHAnsi" w:hAnsiTheme="majorHAnsi" w:cstheme="majorHAnsi"/>
        </w:rPr>
      </w:pPr>
      <w:r w:rsidRPr="005F7846">
        <w:rPr>
          <w:rStyle w:val="FootnoteReference"/>
          <w:rFonts w:asciiTheme="majorHAnsi" w:hAnsiTheme="majorHAnsi" w:cstheme="majorHAnsi"/>
        </w:rPr>
        <w:footnoteRef/>
      </w:r>
      <w:r w:rsidRPr="005F7846">
        <w:rPr>
          <w:rFonts w:asciiTheme="majorHAnsi" w:hAnsiTheme="majorHAnsi" w:cstheme="majorHAnsi"/>
        </w:rPr>
        <w:t xml:space="preserve"> </w:t>
      </w:r>
      <w:r w:rsidRPr="005F7846">
        <w:rPr>
          <w:rFonts w:asciiTheme="majorHAnsi" w:hAnsiTheme="majorHAnsi" w:cstheme="majorHAnsi"/>
        </w:rPr>
        <w:fldChar w:fldCharType="begin" w:fldLock="1"/>
      </w:r>
      <w:r>
        <w:rPr>
          <w:rFonts w:asciiTheme="majorHAnsi" w:hAnsiTheme="majorHAnsi" w:cstheme="majorHAnsi"/>
        </w:rPr>
        <w:instrText>ADDIN CSL_CITATION {"citationItems":[{"id":"ITEM-1","itemData":{"author":[{"dropping-particle":"","family":"Zulkifli","given":"","non-dropping-particle":"","parse-names":false,"suffix":""}],"container-title":"Kompasiana","id":"ITEM-1","issued":{"date-parts":[["2019"]]},"title":"Sexy Killers, Film Yang Mengungkap Sisi Lain Penambangan Batu Bara di Kalimantan Timur","type":"webpage"},"uris":["http://www.mendeley.com/documents/?uuid=42e32246-9395-46e9-a872-a6c68407f7e9","http://www.mendeley.com/documents/?uuid=ac116aeb-9cc8-4c78-9c05-de8af49e4eb8","http://www.mendeley.com/documents/?uuid=3e59cb97-f000-4deb-b10a-efb30e06e965","http://www.mendeley.com/documents/?uuid=3821abdf-8312-44a8-a526-51c829fc59e3"]}],"mendeley":{"formattedCitation":"Zulkifli, ‘Sexy Killers, Film Yang Mengungkap Sisi Lain Penambangan Batu Bara Di Kalimantan Timur’, &lt;i&gt;Kompasiana&lt;/i&gt;, 2019.","plainTextFormattedCitation":"Zulkifli, ‘Sexy Killers, Film Yang Mengungkap Sisi Lain Penambangan Batu Bara Di Kalimantan Timur’, Kompasiana, 2019.","previouslyFormattedCitation":"Zulkifli, ‘Sexy Killers, Film Yang Mengungkap Sisi Lain Penambangan Batu Bara Di Kalimantan Timur’, &lt;i&gt;Kompasiana&lt;/i&gt;, 2019."},"properties":{"noteIndex":53},"schema":"https://github.com/citation-style-language/schema/raw/master/csl-citation.json"}</w:instrText>
      </w:r>
      <w:r w:rsidRPr="005F7846">
        <w:rPr>
          <w:rFonts w:asciiTheme="majorHAnsi" w:hAnsiTheme="majorHAnsi" w:cstheme="majorHAnsi"/>
        </w:rPr>
        <w:fldChar w:fldCharType="separate"/>
      </w:r>
      <w:r w:rsidRPr="005F7846">
        <w:rPr>
          <w:rFonts w:asciiTheme="majorHAnsi" w:hAnsiTheme="majorHAnsi" w:cstheme="majorHAnsi"/>
          <w:noProof/>
        </w:rPr>
        <w:t xml:space="preserve">Zulkifli, ‘Sexy Killers, Film Yang Mengungkap Sisi Lain Penambangan Batu Bara Di Kalimantan Timur’, </w:t>
      </w:r>
      <w:r w:rsidRPr="005F7846">
        <w:rPr>
          <w:rFonts w:asciiTheme="majorHAnsi" w:hAnsiTheme="majorHAnsi" w:cstheme="majorHAnsi"/>
          <w:i/>
          <w:noProof/>
        </w:rPr>
        <w:t>Kompasiana</w:t>
      </w:r>
      <w:r w:rsidRPr="005F7846">
        <w:rPr>
          <w:rFonts w:asciiTheme="majorHAnsi" w:hAnsiTheme="majorHAnsi" w:cstheme="majorHAnsi"/>
          <w:noProof/>
        </w:rPr>
        <w:t>, 2019.</w:t>
      </w:r>
      <w:r w:rsidRPr="005F7846">
        <w:rPr>
          <w:rFonts w:asciiTheme="majorHAnsi" w:hAnsiTheme="majorHAnsi" w:cstheme="majorHAnsi"/>
        </w:rPr>
        <w:fldChar w:fldCharType="end"/>
      </w:r>
    </w:p>
  </w:footnote>
  <w:footnote w:id="54">
    <w:p w:rsidR="005F7846" w:rsidRPr="005F7846" w:rsidRDefault="005F7846" w:rsidP="005F7846">
      <w:pPr>
        <w:pStyle w:val="FootnoteText"/>
        <w:ind w:firstLine="284"/>
        <w:jc w:val="both"/>
        <w:rPr>
          <w:rFonts w:asciiTheme="majorHAnsi" w:hAnsiTheme="majorHAnsi" w:cstheme="majorHAnsi"/>
        </w:rPr>
      </w:pPr>
      <w:r w:rsidRPr="005F7846">
        <w:rPr>
          <w:rStyle w:val="FootnoteReference"/>
          <w:rFonts w:asciiTheme="majorHAnsi" w:hAnsiTheme="majorHAnsi" w:cstheme="majorHAnsi"/>
        </w:rPr>
        <w:footnoteRef/>
      </w:r>
      <w:r w:rsidRPr="005F7846">
        <w:rPr>
          <w:rFonts w:asciiTheme="majorHAnsi" w:hAnsiTheme="majorHAnsi" w:cstheme="majorHAnsi"/>
        </w:rPr>
        <w:t xml:space="preserve"> </w:t>
      </w:r>
      <w:r w:rsidRPr="005F7846">
        <w:rPr>
          <w:rFonts w:asciiTheme="majorHAnsi" w:hAnsiTheme="majorHAnsi" w:cstheme="majorHAnsi"/>
        </w:rPr>
        <w:fldChar w:fldCharType="begin" w:fldLock="1"/>
      </w:r>
      <w:r>
        <w:rPr>
          <w:rFonts w:asciiTheme="majorHAnsi" w:hAnsiTheme="majorHAnsi" w:cstheme="majorHAnsi"/>
        </w:rPr>
        <w:instrText>ADDIN CSL_CITATION {"citationItems":[{"id":"ITEM-1","itemData":{"DOI":"10.19184/ejlh.v5i3.8201","ISSN":"2355-4673","abstract":"The responsibility of mining businesses in carrying out post-mining reclamation activities applies to all mining business permits including holders of the People's Mining Permit (IPR). The arrangement of post-mining land reclamation activities for small-scale mining business people on what so-called ‘gumuk’ mining is still not efficient regarding its making and implementation. Legal responsibility for IPR holders in the preparation of plans, implementation, and sanctions provided still depends on regulations made by the regional government. The norm gap still exists if there is a lack of guarantee costs for post-mining reclamation due to the absence of mandatory guarantee funds. This is evidenced by the fact that there are still many regional governments that have not made regulations on reclamation and post-mining by IPR holders. Therefore, it is necessary to add norms to regulations that regulate reclamation and post-mining activities for community mining businesses. The addition of norms also needs to be done to the implementation rules so that environmental functions can be functioned properly by community mining business actors.\r Keywords: Responsibility, Business Actors, People's Mining","author":[{"dropping-particle":"","family":"Prayogo","given":"Ade Lutfi","non-dropping-particle":"","parse-names":false,"suffix":""}],"container-title":"Lentera Hukum","id":"ITEM-1","issue":"3","issued":{"date-parts":[["2018"]]},"page":"424","title":"Tanggung Jawab Pelaku Usaha Pertambangan Rakyat dalam Reklamasi Gumuk Setelah Kegiatan Tambang","type":"article-journal","volume":"5"},"uris":["http://www.mendeley.com/documents/?uuid=8991e52f-18df-4a84-aecd-6a58a5f4cc7f","http://www.mendeley.com/documents/?uuid=392ada30-d8e0-472e-b3df-3c9643cc3946","http://www.mendeley.com/documents/?uuid=c9603a1a-de85-4256-9654-cca866d764ac","http://www.mendeley.com/documents/?uuid=fe93764b-1ef8-423d-94c9-f6e73203b18e"]}],"mendeley":{"formattedCitation":"Ade Lutfi Prayogo, ‘Tanggung Jawab Pelaku Usaha Pertambangan Rakyat Dalam Reklamasi Gumuk Setelah Kegiatan Tambang’, &lt;i&gt;Lentera Hukum&lt;/i&gt;, 5.3 (2018), 424 &lt;https://doi.org/10.19184/ejlh.v5i3.8201&gt;.","plainTextFormattedCitation":"Ade Lutfi Prayogo, ‘Tanggung Jawab Pelaku Usaha Pertambangan Rakyat Dalam Reklamasi Gumuk Setelah Kegiatan Tambang’, Lentera Hukum, 5.3 (2018), 424 .","previouslyFormattedCitation":"Ade Lutfi Prayogo, ‘Tanggung Jawab Pelaku Usaha Pertambangan Rakyat Dalam Reklamasi Gumuk Setelah Kegiatan Tambang’, &lt;i&gt;Lentera Hukum&lt;/i&gt;, 5.3 (2018), 424 &lt;https://doi.org/10.19184/ejlh.v5i3.8201&gt;."},"properties":{"noteIndex":54},"schema":"https://github.com/citation-style-language/schema/raw/master/csl-citation.json"}</w:instrText>
      </w:r>
      <w:r w:rsidRPr="005F7846">
        <w:rPr>
          <w:rFonts w:asciiTheme="majorHAnsi" w:hAnsiTheme="majorHAnsi" w:cstheme="majorHAnsi"/>
        </w:rPr>
        <w:fldChar w:fldCharType="separate"/>
      </w:r>
      <w:r w:rsidRPr="005F7846">
        <w:rPr>
          <w:rFonts w:asciiTheme="majorHAnsi" w:hAnsiTheme="majorHAnsi" w:cstheme="majorHAnsi"/>
          <w:noProof/>
        </w:rPr>
        <w:t xml:space="preserve">Ade Lutfi Prayogo, ‘Tanggung Jawab Pelaku Usaha Pertambangan Rakyat Dalam Reklamasi Gumuk Setelah Kegiatan Tambang’, </w:t>
      </w:r>
      <w:r w:rsidRPr="005F7846">
        <w:rPr>
          <w:rFonts w:asciiTheme="majorHAnsi" w:hAnsiTheme="majorHAnsi" w:cstheme="majorHAnsi"/>
          <w:i/>
          <w:noProof/>
        </w:rPr>
        <w:t>Lentera Hukum</w:t>
      </w:r>
      <w:r w:rsidRPr="005F7846">
        <w:rPr>
          <w:rFonts w:asciiTheme="majorHAnsi" w:hAnsiTheme="majorHAnsi" w:cstheme="majorHAnsi"/>
          <w:noProof/>
        </w:rPr>
        <w:t>, 5.3 (2018), 424 &lt;https://doi.org/10.19184/ejlh.v5i3.8201&gt;.</w:t>
      </w:r>
      <w:r w:rsidRPr="005F7846">
        <w:rPr>
          <w:rFonts w:asciiTheme="majorHAnsi" w:hAnsiTheme="majorHAnsi" w:cstheme="majorHAnsi"/>
        </w:rPr>
        <w:fldChar w:fldCharType="end"/>
      </w:r>
    </w:p>
  </w:footnote>
  <w:footnote w:id="55">
    <w:p w:rsidR="005F7846" w:rsidRPr="005F7846" w:rsidRDefault="005F7846" w:rsidP="005F7846">
      <w:pPr>
        <w:pStyle w:val="FootnoteText"/>
        <w:ind w:firstLine="284"/>
        <w:jc w:val="both"/>
        <w:rPr>
          <w:rFonts w:asciiTheme="majorHAnsi" w:hAnsiTheme="majorHAnsi" w:cstheme="majorHAnsi"/>
        </w:rPr>
      </w:pPr>
      <w:r w:rsidRPr="005F7846">
        <w:rPr>
          <w:rStyle w:val="FootnoteReference"/>
          <w:rFonts w:asciiTheme="majorHAnsi" w:hAnsiTheme="majorHAnsi" w:cstheme="majorHAnsi"/>
        </w:rPr>
        <w:footnoteRef/>
      </w:r>
      <w:r w:rsidRPr="005F7846">
        <w:rPr>
          <w:rFonts w:asciiTheme="majorHAnsi" w:hAnsiTheme="majorHAnsi" w:cstheme="majorHAnsi"/>
        </w:rPr>
        <w:t xml:space="preserve"> </w:t>
      </w:r>
      <w:r w:rsidRPr="005F7846">
        <w:rPr>
          <w:rFonts w:asciiTheme="majorHAnsi" w:hAnsiTheme="majorHAnsi" w:cstheme="majorHAnsi"/>
        </w:rPr>
        <w:fldChar w:fldCharType="begin" w:fldLock="1"/>
      </w:r>
      <w:r>
        <w:rPr>
          <w:rFonts w:asciiTheme="majorHAnsi" w:hAnsiTheme="majorHAnsi" w:cstheme="majorHAnsi"/>
        </w:rPr>
        <w:instrText>ADDIN CSL_CITATION {"citationItems":[{"id":"ITEM-1","itemData":{"author":[{"dropping-particle":"","family":"Sunarso","given":"Siswanto","non-dropping-particle":"","parse-names":false,"suffix":""}],"id":"ITEM-1","issued":{"date-parts":[["2005"]]},"number-of-pages":"1","publisher":"PT Rineka Cipta","publisher-place":"Jakarta","title":"Hukum Pidana Lingkungan Hidup dan Strategi Penyelesaian Sengketa","type":"book"},"uris":["http://www.mendeley.com/documents/?uuid=bbf01ba6-f4ea-4f13-a594-789f02b7a3c9","http://www.mendeley.com/documents/?uuid=417e7700-8bcf-4acd-ab32-198c5f7147df","http://www.mendeley.com/documents/?uuid=7bef612c-9b3d-485a-b2ab-51cc88a6e5b0","http://www.mendeley.com/documents/?uuid=c62a7007-efb3-4137-a67b-00706288baf5"]}],"mendeley":{"formattedCitation":"Siswanto Sunarso, &lt;i&gt;Hukum Pidana Lingkungan Hidup Dan Strategi Penyelesaian Sengketa&lt;/i&gt; (Jakarta: PT Rineka Cipta, 2005).","plainTextFormattedCitation":"Siswanto Sunarso, Hukum Pidana Lingkungan Hidup Dan Strategi Penyelesaian Sengketa (Jakarta: PT Rineka Cipta, 2005).","previouslyFormattedCitation":"Siswanto Sunarso, &lt;i&gt;Hukum Pidana Lingkungan Hidup Dan Strategi Penyelesaian Sengketa&lt;/i&gt; (Jakarta: PT Rineka Cipta, 2005)."},"properties":{"noteIndex":55},"schema":"https://github.com/citation-style-language/schema/raw/master/csl-citation.json"}</w:instrText>
      </w:r>
      <w:r w:rsidRPr="005F7846">
        <w:rPr>
          <w:rFonts w:asciiTheme="majorHAnsi" w:hAnsiTheme="majorHAnsi" w:cstheme="majorHAnsi"/>
        </w:rPr>
        <w:fldChar w:fldCharType="separate"/>
      </w:r>
      <w:r w:rsidRPr="005F7846">
        <w:rPr>
          <w:rFonts w:asciiTheme="majorHAnsi" w:hAnsiTheme="majorHAnsi" w:cstheme="majorHAnsi"/>
          <w:noProof/>
        </w:rPr>
        <w:t xml:space="preserve">Siswanto Sunarso, </w:t>
      </w:r>
      <w:r w:rsidRPr="005F7846">
        <w:rPr>
          <w:rFonts w:asciiTheme="majorHAnsi" w:hAnsiTheme="majorHAnsi" w:cstheme="majorHAnsi"/>
          <w:i/>
          <w:noProof/>
        </w:rPr>
        <w:t>Hukum Pidana Lingkungan Hidup Dan Strategi Penyelesaian Sengketa</w:t>
      </w:r>
      <w:r w:rsidRPr="005F7846">
        <w:rPr>
          <w:rFonts w:asciiTheme="majorHAnsi" w:hAnsiTheme="majorHAnsi" w:cstheme="majorHAnsi"/>
          <w:noProof/>
        </w:rPr>
        <w:t xml:space="preserve"> (Jakarta: PT Rineka Cipta, 2005).</w:t>
      </w:r>
      <w:r w:rsidRPr="005F7846">
        <w:rPr>
          <w:rFonts w:asciiTheme="majorHAnsi" w:hAnsiTheme="majorHAnsi" w:cstheme="majorHAnsi"/>
        </w:rPr>
        <w:fldChar w:fldCharType="end"/>
      </w:r>
    </w:p>
  </w:footnote>
  <w:footnote w:id="56">
    <w:p w:rsidR="005F7846" w:rsidRPr="005F7846" w:rsidRDefault="005F7846" w:rsidP="005F7846">
      <w:pPr>
        <w:pStyle w:val="FootnoteText"/>
        <w:ind w:firstLine="284"/>
        <w:jc w:val="both"/>
        <w:rPr>
          <w:rFonts w:asciiTheme="majorHAnsi" w:hAnsiTheme="majorHAnsi" w:cstheme="majorHAnsi"/>
        </w:rPr>
      </w:pPr>
      <w:r w:rsidRPr="005F7846">
        <w:rPr>
          <w:rStyle w:val="FootnoteReference"/>
          <w:rFonts w:asciiTheme="majorHAnsi" w:hAnsiTheme="majorHAnsi" w:cstheme="majorHAnsi"/>
        </w:rPr>
        <w:footnoteRef/>
      </w:r>
      <w:r w:rsidRPr="005F7846">
        <w:rPr>
          <w:rFonts w:asciiTheme="majorHAnsi" w:hAnsiTheme="majorHAnsi" w:cstheme="majorHAnsi"/>
        </w:rPr>
        <w:t xml:space="preserve"> </w:t>
      </w:r>
      <w:r w:rsidRPr="005F7846">
        <w:rPr>
          <w:rFonts w:asciiTheme="majorHAnsi" w:hAnsiTheme="majorHAnsi" w:cstheme="majorHAnsi"/>
        </w:rPr>
        <w:fldChar w:fldCharType="begin" w:fldLock="1"/>
      </w:r>
      <w:r>
        <w:rPr>
          <w:rFonts w:asciiTheme="majorHAnsi" w:hAnsiTheme="majorHAnsi" w:cstheme="majorHAnsi"/>
        </w:rPr>
        <w:instrText>ADDIN CSL_CITATION {"citationItems":[{"id":"ITEM-1","itemData":{"DOI":"10.20885/iustum.vol26.iss2.art5","ISSN":"08548498","abstract":"This study is aimed to analyse various Indonesian national regulations that govern about the\nimplementation of social and environmental responsibility (SER) in the actualisation of its objectives for\nthe equitable distribution of natural resources in Indonesia. The analysis is undertaken in terms of the\nphrases used, the subjects who are obliged to perform SER, the funding sources, the allocation of the\nfunds, the instructed programs, as well as the course of the SER itself. By using normative legal\nresearch, this study concludes that the existing regulations have not consistently governed the\nimplementation and standards of SER as expected by the Government. Additionally, according to Fuller,\nthis kind of multi-interpretation will result in the malfunction of legal products, and ultimately frustrate the\nachievement of the SER objectives. On this matter, it is proposed that the Indonesian government needs\nto formulate a regulation that comprehensively and specifically govern about the SER to become a\nguideline for all the existing stakeholders.","author":[{"dropping-particle":"","family":"Karjoko","given":"Lego","non-dropping-particle":"","parse-names":false,"suffix":""},{"dropping-particle":"","family":"Santosa","given":"Josephine","non-dropping-particle":"","parse-names":false,"suffix":""},{"dropping-particle":"","family":"Rachmi Handayani","given":"I Gusti Ayu Ketut","non-dropping-particle":"","parse-names":false,"suffix":""}],"container-title":"Jurnal Hukum Ius Quia Iustum","id":"ITEM-1","issue":"2","issued":{"date-parts":[["2019"]]},"page":"305-325","title":"Disfungsi Peraturan Perundang-Undangan Tanggung Jawab Sosial dan Lingkungan di Indonesia","type":"article-journal","volume":"26"},"uris":["http://www.mendeley.com/documents/?uuid=e9e7a33d-1e84-4f57-8556-e50958759985"]}],"mendeley":{"formattedCitation":"Lego Karjoko, Josephine Santosa, and I Gusti Ayu Ketut Rachmi Handayani, ‘Disfungsi Peraturan Perundang-Undangan Tanggung Jawab Sosial Dan Lingkungan Di Indonesia’, &lt;i&gt;Jurnal Hukum Ius Quia Iustum&lt;/i&gt;, 26.2 (2019), 305–25 &lt;https://doi.org/10.20885/iustum.vol26.iss2.art5&gt;.","plainTextFormattedCitation":"Lego Karjoko, Josephine Santosa, and I Gusti Ayu Ketut Rachmi Handayani, ‘Disfungsi Peraturan Perundang-Undangan Tanggung Jawab Sosial Dan Lingkungan Di Indonesia’, Jurnal Hukum Ius Quia Iustum, 26.2 (2019), 305–25 .","previouslyFormattedCitation":"Lego Karjoko, Josephine Santosa, and I Gusti Ayu Ketut Rachmi Handayani, ‘Disfungsi Peraturan Perundang-Undangan Tanggung Jawab Sosial Dan Lingkungan Di Indonesia’, &lt;i&gt;Jurnal Hukum Ius Quia Iustum&lt;/i&gt;, 26.2 (2019), 305–25 &lt;https://doi.org/10.20885/iustum.vol26.iss2.art5&gt;."},"properties":{"noteIndex":56},"schema":"https://github.com/citation-style-language/schema/raw/master/csl-citation.json"}</w:instrText>
      </w:r>
      <w:r w:rsidRPr="005F7846">
        <w:rPr>
          <w:rFonts w:asciiTheme="majorHAnsi" w:hAnsiTheme="majorHAnsi" w:cstheme="majorHAnsi"/>
        </w:rPr>
        <w:fldChar w:fldCharType="separate"/>
      </w:r>
      <w:r w:rsidRPr="005F7846">
        <w:rPr>
          <w:rFonts w:asciiTheme="majorHAnsi" w:hAnsiTheme="majorHAnsi" w:cstheme="majorHAnsi"/>
          <w:noProof/>
        </w:rPr>
        <w:t xml:space="preserve">Lego Karjoko, Josephine Santosa, and I Gusti Ayu Ketut Rachmi Handayani, ‘Disfungsi Peraturan Perundang-Undangan Tanggung Jawab Sosial Dan Lingkungan Di Indonesia’, </w:t>
      </w:r>
      <w:r w:rsidRPr="005F7846">
        <w:rPr>
          <w:rFonts w:asciiTheme="majorHAnsi" w:hAnsiTheme="majorHAnsi" w:cstheme="majorHAnsi"/>
          <w:i/>
          <w:noProof/>
        </w:rPr>
        <w:t>Jurnal Hukum Ius Quia Iustum</w:t>
      </w:r>
      <w:r w:rsidRPr="005F7846">
        <w:rPr>
          <w:rFonts w:asciiTheme="majorHAnsi" w:hAnsiTheme="majorHAnsi" w:cstheme="majorHAnsi"/>
          <w:noProof/>
        </w:rPr>
        <w:t>, 26.2 (2019), 305–25 &lt;https://doi.org/10.20885/iustum.vol26.iss2.art5&gt;.</w:t>
      </w:r>
      <w:r w:rsidRPr="005F7846">
        <w:rPr>
          <w:rFonts w:asciiTheme="majorHAnsi" w:hAnsiTheme="majorHAnsi" w:cstheme="majorHAnsi"/>
        </w:rPr>
        <w:fldChar w:fldCharType="end"/>
      </w:r>
    </w:p>
  </w:footnote>
  <w:footnote w:id="57">
    <w:p w:rsidR="005F7846" w:rsidRPr="005F7846" w:rsidRDefault="005F7846" w:rsidP="005F7846">
      <w:pPr>
        <w:pStyle w:val="FootnoteText"/>
        <w:ind w:firstLine="284"/>
        <w:jc w:val="both"/>
        <w:rPr>
          <w:rFonts w:asciiTheme="majorHAnsi" w:hAnsiTheme="majorHAnsi" w:cstheme="majorHAnsi"/>
        </w:rPr>
      </w:pPr>
      <w:r w:rsidRPr="005F7846">
        <w:rPr>
          <w:rStyle w:val="FootnoteReference"/>
          <w:rFonts w:asciiTheme="majorHAnsi" w:hAnsiTheme="majorHAnsi" w:cstheme="majorHAnsi"/>
        </w:rPr>
        <w:footnoteRef/>
      </w:r>
      <w:r w:rsidRPr="005F7846">
        <w:rPr>
          <w:rFonts w:asciiTheme="majorHAnsi" w:hAnsiTheme="majorHAnsi" w:cstheme="majorHAnsi"/>
        </w:rPr>
        <w:t xml:space="preserve"> </w:t>
      </w:r>
      <w:r w:rsidRPr="005F7846">
        <w:rPr>
          <w:rFonts w:asciiTheme="majorHAnsi" w:hAnsiTheme="majorHAnsi" w:cstheme="majorHAnsi"/>
        </w:rPr>
        <w:fldChar w:fldCharType="begin" w:fldLock="1"/>
      </w:r>
      <w:r>
        <w:rPr>
          <w:rFonts w:asciiTheme="majorHAnsi" w:hAnsiTheme="majorHAnsi" w:cstheme="majorHAnsi"/>
        </w:rPr>
        <w:instrText>ADDIN CSL_CITATION {"citationItems":[{"id":"ITEM-1","itemData":{"DOI":"10.1016/j.enpol.2021.112583","ISSN":"03014215","abstract":"European Commission favours market-based support policies, such as markets for tradable green certificates, to promote renewable energy. Meanwhile, these instruments have received critique for exposing investors to large price risk as the level of support is determined by the market price of certificates. Using a two-step procedure, this study builds upon the work of Fagiani and Hakvoort (2014) by firstly examining how regulatory interventions in the Swedish-Norwegian certificate market affect price volatility, focusing particularly on the period after Norway joined in 2012. The results show that interventions in the market exacerbate price risk by resulting in regimes of increased volatility. They indicate that, contrary to policymakers expectation, prices did not stabilise after the market integration with Norway. Employing a real options approach, the study further proceeds to demonstrate that price risk increases the threshold for immediate development of Swedish wind power projects; a one standard deviation increase in certificate price volatility is estimated to reduce the probability of project development by 12%. These findings illustrate that regulatory uncertainty in terms of high price volatility disrupts the investment climate in certificate markets, ultimately affecting cost-effectiveness of such policy.","author":[{"dropping-particle":"","family":"Ganhammar","given":"Kajsa","non-dropping-particle":"","parse-names":false,"suffix":""}],"container-title":"Energy Policy","id":"ITEM-1","issue":"February","issued":{"date-parts":[["2021"]]},"page":"112583","publisher":"Elsevier Ltd","title":"The effect of regulatory uncertainty in green certificate markets: Evidence from the Swedish-Norwegian market","type":"article-journal","volume":"158"},"uris":["http://www.mendeley.com/documents/?uuid=1c132596-9ba4-447d-98a6-9cb10d519000","http://www.mendeley.com/documents/?uuid=535855ac-248d-4c41-8483-50ae232f35b4","http://www.mendeley.com/documents/?uuid=f7f0dbe3-ef77-4622-9a4d-0b973449914a"]}],"mendeley":{"formattedCitation":"Kajsa Ganhammar, ‘The Effect of Regulatory Uncertainty in Green Certificate Markets: Evidence from the Swedish-Norwegian Market’, &lt;i&gt;Energy Policy&lt;/i&gt;, 158.February (2021), 112583 &lt;https://doi.org/10.1016/j.enpol.2021.112583&gt;.","plainTextFormattedCitation":"Kajsa Ganhammar, ‘The Effect of Regulatory Uncertainty in Green Certificate Markets: Evidence from the Swedish-Norwegian Market’, Energy Policy, 158.February (2021), 112583 .","previouslyFormattedCitation":"Kajsa Ganhammar, ‘The Effect of Regulatory Uncertainty in Green Certificate Markets: Evidence from the Swedish-Norwegian Market’, &lt;i&gt;Energy Policy&lt;/i&gt;, 158.February (2021), 112583 &lt;https://doi.org/10.1016/j.enpol.2021.112583&gt;."},"properties":{"noteIndex":57},"schema":"https://github.com/citation-style-language/schema/raw/master/csl-citation.json"}</w:instrText>
      </w:r>
      <w:r w:rsidRPr="005F7846">
        <w:rPr>
          <w:rFonts w:asciiTheme="majorHAnsi" w:hAnsiTheme="majorHAnsi" w:cstheme="majorHAnsi"/>
        </w:rPr>
        <w:fldChar w:fldCharType="separate"/>
      </w:r>
      <w:r w:rsidRPr="005F7846">
        <w:rPr>
          <w:rFonts w:asciiTheme="majorHAnsi" w:hAnsiTheme="majorHAnsi" w:cstheme="majorHAnsi"/>
          <w:noProof/>
        </w:rPr>
        <w:t xml:space="preserve">Kajsa Ganhammar, ‘The Effect of Regulatory Uncertainty in Green Certificate Markets: Evidence from the Swedish-Norwegian Market’, </w:t>
      </w:r>
      <w:r w:rsidRPr="005F7846">
        <w:rPr>
          <w:rFonts w:asciiTheme="majorHAnsi" w:hAnsiTheme="majorHAnsi" w:cstheme="majorHAnsi"/>
          <w:i/>
          <w:noProof/>
        </w:rPr>
        <w:t>Energy Policy</w:t>
      </w:r>
      <w:r w:rsidRPr="005F7846">
        <w:rPr>
          <w:rFonts w:asciiTheme="majorHAnsi" w:hAnsiTheme="majorHAnsi" w:cstheme="majorHAnsi"/>
          <w:noProof/>
        </w:rPr>
        <w:t>, 158.February (2021), 112583 &lt;https://doi.org/10.1016/j.enpol.2021.112583&gt;.</w:t>
      </w:r>
      <w:r w:rsidRPr="005F7846">
        <w:rPr>
          <w:rFonts w:asciiTheme="majorHAnsi" w:hAnsiTheme="majorHAnsi" w:cstheme="majorHAnsi"/>
        </w:rPr>
        <w:fldChar w:fldCharType="end"/>
      </w:r>
    </w:p>
  </w:footnote>
  <w:footnote w:id="58">
    <w:p w:rsidR="005F7846" w:rsidRPr="005F7846" w:rsidRDefault="005F7846" w:rsidP="005F7846">
      <w:pPr>
        <w:pStyle w:val="FootnoteText"/>
        <w:ind w:firstLine="284"/>
        <w:jc w:val="both"/>
        <w:rPr>
          <w:rFonts w:asciiTheme="majorHAnsi" w:hAnsiTheme="majorHAnsi" w:cstheme="majorHAnsi"/>
        </w:rPr>
      </w:pPr>
      <w:r w:rsidRPr="005F7846">
        <w:rPr>
          <w:rStyle w:val="FootnoteReference"/>
          <w:rFonts w:asciiTheme="majorHAnsi" w:hAnsiTheme="majorHAnsi" w:cstheme="majorHAnsi"/>
        </w:rPr>
        <w:footnoteRef/>
      </w:r>
      <w:r w:rsidRPr="005F7846">
        <w:rPr>
          <w:rFonts w:asciiTheme="majorHAnsi" w:hAnsiTheme="majorHAnsi" w:cstheme="majorHAnsi"/>
        </w:rPr>
        <w:t xml:space="preserve"> </w:t>
      </w:r>
      <w:r w:rsidRPr="005F7846">
        <w:rPr>
          <w:rFonts w:asciiTheme="majorHAnsi" w:hAnsiTheme="majorHAnsi" w:cstheme="majorHAnsi"/>
        </w:rPr>
        <w:fldChar w:fldCharType="begin" w:fldLock="1"/>
      </w:r>
      <w:r>
        <w:rPr>
          <w:rFonts w:asciiTheme="majorHAnsi" w:hAnsiTheme="majorHAnsi" w:cstheme="majorHAnsi"/>
        </w:rPr>
        <w:instrText>ADDIN CSL_CITATION {"citationItems":[{"id":"ITEM-1","itemData":{"DOI":"10.1016/j.enpol.2021.112550","ISSN":"03014215","abstract":"Do social vulnerabilities and ruling party support shape government responsiveness in times of disasters? The 2017 hurricane María territory-wide power outage, the second longest in world history, is a tragic natural experiment that provides a unique opportunity to examine the determinants of government responsiveness during disaster recovery processes. We use data on power restoration crew deployments (N = 18,614 deployments), a novel measure of government responsiveness, and a new social vulnerability index to assess the determinants of government responsiveness in the wake of disasters. We find that communities with ties to the ruling party elicit greater government responsiveness while socially vulnerable communities are less likely to be prioritized during the disaster relief efforts, controlling for disaster damage as well as logistical, economic, and essential service recovery priorities. Existing power restoration policies place larger burdens on marginalized communities, motivating the need for including power restoration to vulnerable communities among restoration priorities.","author":[{"dropping-particle":"","family":"Tormos-Aponte","given":"Fernando","non-dropping-particle":"","parse-names":false,"suffix":""},{"dropping-particle":"","family":"García-López","given":"Gustavo","non-dropping-particle":"","parse-names":false,"suffix":""},{"dropping-particle":"","family":"Painter","given":"Mary Angelica","non-dropping-particle":"","parse-names":false,"suffix":""}],"container-title":"Energy Policy","id":"ITEM-1","issue":"August","issued":{"date-parts":[["2021"]]},"title":"Energy inequality and clientelism in the wake of disasters: From colorblind to affirmative power restoration","type":"article-journal","volume":"158"},"uris":["http://www.mendeley.com/documents/?uuid=ed4c82a3-a1a0-40d7-a437-a65a1cd4209e"]}],"mendeley":{"formattedCitation":"Tormos-Aponte, García-López, and Painter.","plainTextFormattedCitation":"Tormos-Aponte, García-López, and Painter.","previouslyFormattedCitation":"Tormos-Aponte, García-López, and Painter."},"properties":{"noteIndex":58},"schema":"https://github.com/citation-style-language/schema/raw/master/csl-citation.json"}</w:instrText>
      </w:r>
      <w:r w:rsidRPr="005F7846">
        <w:rPr>
          <w:rFonts w:asciiTheme="majorHAnsi" w:hAnsiTheme="majorHAnsi" w:cstheme="majorHAnsi"/>
        </w:rPr>
        <w:fldChar w:fldCharType="separate"/>
      </w:r>
      <w:r w:rsidRPr="005F7846">
        <w:rPr>
          <w:rFonts w:asciiTheme="majorHAnsi" w:hAnsiTheme="majorHAnsi" w:cstheme="majorHAnsi"/>
          <w:noProof/>
        </w:rPr>
        <w:t>Tormos-Aponte, García-López, and Painter.</w:t>
      </w:r>
      <w:r w:rsidRPr="005F7846">
        <w:rPr>
          <w:rFonts w:asciiTheme="majorHAnsi" w:hAnsiTheme="majorHAnsi" w:cstheme="majorHAnsi"/>
        </w:rPr>
        <w:fldChar w:fldCharType="end"/>
      </w:r>
    </w:p>
  </w:footnote>
  <w:footnote w:id="59">
    <w:p w:rsidR="005F7846" w:rsidRPr="005F7846" w:rsidRDefault="005F7846" w:rsidP="005F7846">
      <w:pPr>
        <w:pStyle w:val="FootnoteText"/>
        <w:ind w:firstLine="284"/>
        <w:jc w:val="both"/>
        <w:rPr>
          <w:rFonts w:asciiTheme="majorHAnsi" w:hAnsiTheme="majorHAnsi" w:cstheme="majorHAnsi"/>
        </w:rPr>
      </w:pPr>
      <w:r w:rsidRPr="005F7846">
        <w:rPr>
          <w:rStyle w:val="FootnoteReference"/>
          <w:rFonts w:asciiTheme="majorHAnsi" w:hAnsiTheme="majorHAnsi" w:cstheme="majorHAnsi"/>
        </w:rPr>
        <w:footnoteRef/>
      </w:r>
      <w:r w:rsidRPr="005F7846">
        <w:rPr>
          <w:rFonts w:asciiTheme="majorHAnsi" w:hAnsiTheme="majorHAnsi" w:cstheme="majorHAnsi"/>
        </w:rPr>
        <w:t xml:space="preserve"> </w:t>
      </w:r>
      <w:r w:rsidRPr="005F7846">
        <w:rPr>
          <w:rFonts w:asciiTheme="majorHAnsi" w:hAnsiTheme="majorHAnsi" w:cstheme="majorHAnsi"/>
        </w:rPr>
        <w:fldChar w:fldCharType="begin" w:fldLock="1"/>
      </w:r>
      <w:r>
        <w:rPr>
          <w:rFonts w:asciiTheme="majorHAnsi" w:hAnsiTheme="majorHAnsi" w:cstheme="majorHAnsi"/>
        </w:rPr>
        <w:instrText>ADDIN CSL_CITATION {"citationItems":[{"id":"ITEM-1","itemData":{"DOI":"https://doi.org/10.53955/jhcls.v1i3.19","author":[{"dropping-particle":"","family":"Dian","given":"Resti","non-dropping-particle":"","parse-names":false,"suffix":""},{"dropping-particle":"","family":"Jenvitchuwong","given":"Suviwat","non-dropping-particle":"","parse-names":false,"suffix":""}],"container-title":"Journal of Human Rights, Culture and Legal System","id":"ITEM-1","issue":"3","issued":{"date-parts":[["2021"]]},"page":"164-179","title":"Implementation of Halal Product Assurance in the Pharmaceutical Sector in Indonesia","type":"article-journal","volume":"1"},"uris":["http://www.mendeley.com/documents/?uuid=98b41b6c-1ce6-4977-9ef3-22b149c74ac1"]}],"mendeley":{"formattedCitation":"Resti Dian and Suviwat Jenvitchuwong, ‘Implementation of Halal Product Assurance in the Pharmaceutical Sector in Indonesia’, &lt;i&gt;Journal of Human Rights, Culture and Legal System&lt;/i&gt;, 1.3 (2021), 164–79 &lt;https://doi.org/https://doi.org/10.53955/jhcls.v1i3.19&gt;.","plainTextFormattedCitation":"Resti Dian and Suviwat Jenvitchuwong, ‘Implementation of Halal Product Assurance in the Pharmaceutical Sector in Indonesia’, Journal of Human Rights, Culture and Legal System, 1.3 (2021), 164–79 .","previouslyFormattedCitation":"Resti Dian and Suviwat Jenvitchuwong, ‘Implementation of Halal Product Assurance in the Pharmaceutical Sector in Indonesia’, &lt;i&gt;Journal of Human Rights, Culture and Legal System&lt;/i&gt;, 1.3 (2021), 164–79 &lt;https://doi.org/https://doi.org/10.53955/jhcls.v1i3.19&gt;."},"properties":{"noteIndex":59},"schema":"https://github.com/citation-style-language/schema/raw/master/csl-citation.json"}</w:instrText>
      </w:r>
      <w:r w:rsidRPr="005F7846">
        <w:rPr>
          <w:rFonts w:asciiTheme="majorHAnsi" w:hAnsiTheme="majorHAnsi" w:cstheme="majorHAnsi"/>
        </w:rPr>
        <w:fldChar w:fldCharType="separate"/>
      </w:r>
      <w:r w:rsidRPr="005F7846">
        <w:rPr>
          <w:rFonts w:asciiTheme="majorHAnsi" w:hAnsiTheme="majorHAnsi" w:cstheme="majorHAnsi"/>
          <w:noProof/>
        </w:rPr>
        <w:t xml:space="preserve">Resti Dian and Suviwat Jenvitchuwong, ‘Implementation of Halal Product Assurance in the Pharmaceutical Sector in Indonesia’, </w:t>
      </w:r>
      <w:r w:rsidRPr="005F7846">
        <w:rPr>
          <w:rFonts w:asciiTheme="majorHAnsi" w:hAnsiTheme="majorHAnsi" w:cstheme="majorHAnsi"/>
          <w:i/>
          <w:noProof/>
        </w:rPr>
        <w:t>Journal of Human Rights, Culture and Legal System</w:t>
      </w:r>
      <w:r w:rsidRPr="005F7846">
        <w:rPr>
          <w:rFonts w:asciiTheme="majorHAnsi" w:hAnsiTheme="majorHAnsi" w:cstheme="majorHAnsi"/>
          <w:noProof/>
        </w:rPr>
        <w:t>, 1.3 (2021), 164–79 &lt;https://doi.org/https://doi.org/10.53955/jhcls.v1i3.19&gt;.</w:t>
      </w:r>
      <w:r w:rsidRPr="005F7846">
        <w:rPr>
          <w:rFonts w:asciiTheme="majorHAnsi" w:hAnsiTheme="majorHAnsi" w:cstheme="majorHAnsi"/>
        </w:rPr>
        <w:fldChar w:fldCharType="end"/>
      </w:r>
    </w:p>
  </w:footnote>
  <w:footnote w:id="60">
    <w:p w:rsidR="005F7846" w:rsidRPr="005F7846" w:rsidRDefault="005F7846" w:rsidP="005F7846">
      <w:pPr>
        <w:pStyle w:val="FootnoteText"/>
        <w:ind w:firstLine="284"/>
        <w:jc w:val="both"/>
        <w:rPr>
          <w:rFonts w:asciiTheme="majorHAnsi" w:hAnsiTheme="majorHAnsi" w:cstheme="majorHAnsi"/>
        </w:rPr>
      </w:pPr>
      <w:r w:rsidRPr="005F7846">
        <w:rPr>
          <w:rStyle w:val="FootnoteReference"/>
          <w:rFonts w:asciiTheme="majorHAnsi" w:hAnsiTheme="majorHAnsi" w:cstheme="majorHAnsi"/>
        </w:rPr>
        <w:footnoteRef/>
      </w:r>
      <w:r w:rsidRPr="005F7846">
        <w:rPr>
          <w:rFonts w:asciiTheme="majorHAnsi" w:hAnsiTheme="majorHAnsi" w:cstheme="majorHAnsi"/>
        </w:rPr>
        <w:t xml:space="preserve"> </w:t>
      </w:r>
      <w:r w:rsidRPr="005F7846">
        <w:rPr>
          <w:rFonts w:asciiTheme="majorHAnsi" w:hAnsiTheme="majorHAnsi" w:cstheme="majorHAnsi"/>
        </w:rPr>
        <w:fldChar w:fldCharType="begin" w:fldLock="1"/>
      </w:r>
      <w:r>
        <w:rPr>
          <w:rFonts w:asciiTheme="majorHAnsi" w:hAnsiTheme="majorHAnsi" w:cstheme="majorHAnsi"/>
        </w:rPr>
        <w:instrText>ADDIN CSL_CITATION {"citationItems":[{"id":"ITEM-1","itemData":{"author":[{"dropping-particle":"","family":"Iqra","given":"Moh","non-dropping-particle":"","parse-names":false,"suffix":""},{"dropping-particle":"","family":"Korompot","given":"Syabani","non-dropping-particle":"","parse-names":false,"suffix":""},{"dropping-particle":"","family":"David","given":"Al-fatih","non-dropping-particle":"","parse-names":false,"suffix":""}],"container-title":"Journal of Human Rights, Culture and Legal System","id":"ITEM-1","issue":"3","issued":{"date-parts":[["2021"]]},"page":"135-146","title":"The Principle of Equality Before the Law in Indonesian Corruption Case : Is It Relevant ?","type":"article-journal","volume":"1"},"uris":["http://www.mendeley.com/documents/?uuid=75ef69fc-d2c4-4ab0-b346-411943a216c6","http://www.mendeley.com/documents/?uuid=0f95554a-d245-4a96-b145-529fca65335b","http://www.mendeley.com/documents/?uuid=36146357-a684-4eef-8ce4-fde96ef84b92"]}],"mendeley":{"formattedCitation":"Moh Iqra, Syabani Korompot, and Al-fatih David, ‘The Principle of Equality Before the Law in Indonesian Corruption Case : Is It Relevant ?’, &lt;i&gt;Journal of Human Rights, Culture and Legal System&lt;/i&gt;, 1.3 (2021), 135–46.","plainTextFormattedCitation":"Moh Iqra, Syabani Korompot, and Al-fatih David, ‘The Principle of Equality Before the Law in Indonesian Corruption Case : Is It Relevant ?’, Journal of Human Rights, Culture and Legal System, 1.3 (2021), 135–46.","previouslyFormattedCitation":"Moh Iqra, Syabani Korompot, and Al-fatih David, ‘The Principle of Equality Before the Law in Indonesian Corruption Case : Is It Relevant ?’, &lt;i&gt;Journal of Human Rights, Culture and Legal System&lt;/i&gt;, 1.3 (2021), 135–46."},"properties":{"noteIndex":60},"schema":"https://github.com/citation-style-language/schema/raw/master/csl-citation.json"}</w:instrText>
      </w:r>
      <w:r w:rsidRPr="005F7846">
        <w:rPr>
          <w:rFonts w:asciiTheme="majorHAnsi" w:hAnsiTheme="majorHAnsi" w:cstheme="majorHAnsi"/>
        </w:rPr>
        <w:fldChar w:fldCharType="separate"/>
      </w:r>
      <w:r w:rsidRPr="005F7846">
        <w:rPr>
          <w:rFonts w:asciiTheme="majorHAnsi" w:hAnsiTheme="majorHAnsi" w:cstheme="majorHAnsi"/>
          <w:noProof/>
        </w:rPr>
        <w:t xml:space="preserve">Moh Iqra, Syabani Korompot, and Al-fatih David, ‘The Principle of Equality Before the Law in Indonesian Corruption Case : Is It Relevant ?’, </w:t>
      </w:r>
      <w:r w:rsidRPr="005F7846">
        <w:rPr>
          <w:rFonts w:asciiTheme="majorHAnsi" w:hAnsiTheme="majorHAnsi" w:cstheme="majorHAnsi"/>
          <w:i/>
          <w:noProof/>
        </w:rPr>
        <w:t>Journal of Human Rights, Culture and Legal System</w:t>
      </w:r>
      <w:r w:rsidRPr="005F7846">
        <w:rPr>
          <w:rFonts w:asciiTheme="majorHAnsi" w:hAnsiTheme="majorHAnsi" w:cstheme="majorHAnsi"/>
          <w:noProof/>
        </w:rPr>
        <w:t>, 1.3 (2021), 135–46.</w:t>
      </w:r>
      <w:r w:rsidRPr="005F7846">
        <w:rPr>
          <w:rFonts w:asciiTheme="majorHAnsi" w:hAnsiTheme="majorHAnsi" w:cstheme="majorHAnsi"/>
        </w:rPr>
        <w:fldChar w:fldCharType="end"/>
      </w:r>
    </w:p>
  </w:footnote>
  <w:footnote w:id="61">
    <w:p w:rsidR="005F7846" w:rsidRPr="005F7846" w:rsidRDefault="005F7846" w:rsidP="005F7846">
      <w:pPr>
        <w:pStyle w:val="FootnoteText"/>
        <w:ind w:firstLine="284"/>
        <w:jc w:val="both"/>
        <w:rPr>
          <w:rFonts w:asciiTheme="majorHAnsi" w:hAnsiTheme="majorHAnsi" w:cstheme="majorHAnsi"/>
        </w:rPr>
      </w:pPr>
      <w:r w:rsidRPr="005F7846">
        <w:rPr>
          <w:rStyle w:val="FootnoteReference"/>
          <w:rFonts w:asciiTheme="majorHAnsi" w:hAnsiTheme="majorHAnsi" w:cstheme="majorHAnsi"/>
        </w:rPr>
        <w:footnoteRef/>
      </w:r>
      <w:r w:rsidRPr="005F7846">
        <w:rPr>
          <w:rFonts w:asciiTheme="majorHAnsi" w:hAnsiTheme="majorHAnsi" w:cstheme="majorHAnsi"/>
        </w:rPr>
        <w:t xml:space="preserve"> </w:t>
      </w:r>
      <w:r w:rsidRPr="005F7846">
        <w:rPr>
          <w:rFonts w:asciiTheme="majorHAnsi" w:hAnsiTheme="majorHAnsi" w:cstheme="majorHAnsi"/>
        </w:rPr>
        <w:fldChar w:fldCharType="begin" w:fldLock="1"/>
      </w:r>
      <w:r>
        <w:rPr>
          <w:rFonts w:asciiTheme="majorHAnsi" w:hAnsiTheme="majorHAnsi" w:cstheme="majorHAnsi"/>
        </w:rPr>
        <w:instrText>ADDIN CSL_CITATION {"citationItems":[{"id":"ITEM-1","itemData":{"DOI":"https://doi.org/10.53955/jhcls.v1i3.19","author":[{"dropping-particle":"","family":"Dian","given":"Resti","non-dropping-particle":"","parse-names":false,"suffix":""},{"dropping-particle":"","family":"Jenvitchuwong","given":"Suviwat","non-dropping-particle":"","parse-names":false,"suffix":""}],"container-title":"Journal of Human Rights, Culture and Legal System","id":"ITEM-1","issue":"3","issued":{"date-parts":[["2021"]]},"page":"164-179","title":"Implementation of Halal Product Assurance in the Pharmaceutical Sector in Indonesia","type":"article-journal","volume":"1"},"uris":["http://www.mendeley.com/documents/?uuid=98b41b6c-1ce6-4977-9ef3-22b149c74ac1"]}],"mendeley":{"formattedCitation":"Dian and Jenvitchuwong.","plainTextFormattedCitation":"Dian and Jenvitchuwong.","previouslyFormattedCitation":"Dian and Jenvitchuwong."},"properties":{"noteIndex":61},"schema":"https://github.com/citation-style-language/schema/raw/master/csl-citation.json"}</w:instrText>
      </w:r>
      <w:r w:rsidRPr="005F7846">
        <w:rPr>
          <w:rFonts w:asciiTheme="majorHAnsi" w:hAnsiTheme="majorHAnsi" w:cstheme="majorHAnsi"/>
        </w:rPr>
        <w:fldChar w:fldCharType="separate"/>
      </w:r>
      <w:r w:rsidRPr="005F7846">
        <w:rPr>
          <w:rFonts w:asciiTheme="majorHAnsi" w:hAnsiTheme="majorHAnsi" w:cstheme="majorHAnsi"/>
          <w:noProof/>
        </w:rPr>
        <w:t>Dian and Jenvitchuwong.</w:t>
      </w:r>
      <w:r w:rsidRPr="005F7846">
        <w:rPr>
          <w:rFonts w:asciiTheme="majorHAnsi" w:hAnsiTheme="majorHAnsi" w:cstheme="majorHAnsi"/>
        </w:rPr>
        <w:fldChar w:fldCharType="end"/>
      </w:r>
    </w:p>
  </w:footnote>
  <w:footnote w:id="62">
    <w:p w:rsidR="005F7846" w:rsidRPr="005F7846" w:rsidRDefault="005F7846" w:rsidP="005F7846">
      <w:pPr>
        <w:pStyle w:val="FootnoteText"/>
        <w:ind w:firstLine="284"/>
        <w:jc w:val="both"/>
        <w:rPr>
          <w:rFonts w:asciiTheme="majorHAnsi" w:hAnsiTheme="majorHAnsi" w:cstheme="majorHAnsi"/>
        </w:rPr>
      </w:pPr>
      <w:r w:rsidRPr="005F7846">
        <w:rPr>
          <w:rStyle w:val="FootnoteReference"/>
          <w:rFonts w:asciiTheme="majorHAnsi" w:hAnsiTheme="majorHAnsi" w:cstheme="majorHAnsi"/>
        </w:rPr>
        <w:footnoteRef/>
      </w:r>
      <w:r w:rsidRPr="005F7846">
        <w:rPr>
          <w:rFonts w:asciiTheme="majorHAnsi" w:hAnsiTheme="majorHAnsi" w:cstheme="majorHAnsi"/>
        </w:rPr>
        <w:t xml:space="preserve"> </w:t>
      </w:r>
      <w:r w:rsidRPr="005F7846">
        <w:rPr>
          <w:rFonts w:asciiTheme="majorHAnsi" w:hAnsiTheme="majorHAnsi" w:cstheme="majorHAnsi"/>
        </w:rPr>
        <w:fldChar w:fldCharType="begin" w:fldLock="1"/>
      </w:r>
      <w:r>
        <w:rPr>
          <w:rFonts w:asciiTheme="majorHAnsi" w:hAnsiTheme="majorHAnsi" w:cstheme="majorHAnsi"/>
        </w:rPr>
        <w:instrText>ADDIN CSL_CITATION {"citationItems":[{"id":"ITEM-1","itemData":{"author":[{"dropping-particle":"","family":"Wahyuni","given":"Sri","non-dropping-particle":"","parse-names":false,"suffix":""},{"dropping-particle":"","family":"Luthviati","given":"Dian","non-dropping-particle":"","parse-names":false,"suffix":""},{"dropping-particle":"","family":"Hayat","given":"Muhhamd","non-dropping-particle":"","parse-names":false,"suffix":""}],"container-title":"Bestuur","id":"ITEM-1","issue":"1","issued":{"date-parts":[["2022"]]},"page":"12-21","title":"The Registration Policy of Interfaith Marriage Overseas for Indonesian Citizen","type":"article-journal","volume":"10"},"uris":["http://www.mendeley.com/documents/?uuid=d38c5e25-bee3-4be7-9c0e-05449a335353","http://www.mendeley.com/documents/?uuid=fbf3d165-5e4c-4c50-a42a-813ba94eca7e","http://www.mendeley.com/documents/?uuid=6b8c7a65-db3d-4e5b-8fd5-26648f1cb651"]}],"mendeley":{"formattedCitation":"Sri Wahyuni, Dian Luthviati, and Muhhamd Hayat, ‘The Registration Policy of Interfaith Marriage Overseas for Indonesian Citizen’, &lt;i&gt;Bestuur&lt;/i&gt;, 10.1 (2022), 12–21.","plainTextFormattedCitation":"Sri Wahyuni, Dian Luthviati, and Muhhamd Hayat, ‘The Registration Policy of Interfaith Marriage Overseas for Indonesian Citizen’, Bestuur, 10.1 (2022), 12–21.","previouslyFormattedCitation":"Sri Wahyuni, Dian Luthviati, and Muhhamd Hayat, ‘The Registration Policy of Interfaith Marriage Overseas for Indonesian Citizen’, &lt;i&gt;Bestuur&lt;/i&gt;, 10.1 (2022), 12–21."},"properties":{"noteIndex":62},"schema":"https://github.com/citation-style-language/schema/raw/master/csl-citation.json"}</w:instrText>
      </w:r>
      <w:r w:rsidRPr="005F7846">
        <w:rPr>
          <w:rFonts w:asciiTheme="majorHAnsi" w:hAnsiTheme="majorHAnsi" w:cstheme="majorHAnsi"/>
        </w:rPr>
        <w:fldChar w:fldCharType="separate"/>
      </w:r>
      <w:r w:rsidRPr="005F7846">
        <w:rPr>
          <w:rFonts w:asciiTheme="majorHAnsi" w:hAnsiTheme="majorHAnsi" w:cstheme="majorHAnsi"/>
          <w:noProof/>
        </w:rPr>
        <w:t xml:space="preserve">Sri Wahyuni, Dian Luthviati, and Muhhamd Hayat, ‘The Registration Policy of Interfaith Marriage Overseas for Indonesian Citizen’, </w:t>
      </w:r>
      <w:r w:rsidRPr="005F7846">
        <w:rPr>
          <w:rFonts w:asciiTheme="majorHAnsi" w:hAnsiTheme="majorHAnsi" w:cstheme="majorHAnsi"/>
          <w:i/>
          <w:noProof/>
        </w:rPr>
        <w:t>Bestuur</w:t>
      </w:r>
      <w:r w:rsidRPr="005F7846">
        <w:rPr>
          <w:rFonts w:asciiTheme="majorHAnsi" w:hAnsiTheme="majorHAnsi" w:cstheme="majorHAnsi"/>
          <w:noProof/>
        </w:rPr>
        <w:t>, 10.1 (2022), 12–21.</w:t>
      </w:r>
      <w:r w:rsidRPr="005F7846">
        <w:rPr>
          <w:rFonts w:asciiTheme="majorHAnsi" w:hAnsiTheme="majorHAnsi" w:cstheme="majorHAnsi"/>
        </w:rPr>
        <w:fldChar w:fldCharType="end"/>
      </w:r>
    </w:p>
  </w:footnote>
  <w:footnote w:id="63">
    <w:p w:rsidR="005F7846" w:rsidRPr="005F7846" w:rsidRDefault="005F7846" w:rsidP="005F7846">
      <w:pPr>
        <w:pStyle w:val="FootnoteText"/>
        <w:ind w:firstLine="284"/>
        <w:jc w:val="both"/>
        <w:rPr>
          <w:rFonts w:asciiTheme="majorHAnsi" w:hAnsiTheme="majorHAnsi" w:cstheme="majorHAnsi"/>
        </w:rPr>
      </w:pPr>
      <w:r w:rsidRPr="005F7846">
        <w:rPr>
          <w:rStyle w:val="FootnoteReference"/>
          <w:rFonts w:asciiTheme="majorHAnsi" w:hAnsiTheme="majorHAnsi" w:cstheme="majorHAnsi"/>
        </w:rPr>
        <w:footnoteRef/>
      </w:r>
      <w:r w:rsidRPr="005F7846">
        <w:rPr>
          <w:rFonts w:asciiTheme="majorHAnsi" w:hAnsiTheme="majorHAnsi" w:cstheme="majorHAnsi"/>
        </w:rPr>
        <w:t xml:space="preserve"> </w:t>
      </w:r>
      <w:r w:rsidRPr="005F7846">
        <w:rPr>
          <w:rFonts w:asciiTheme="majorHAnsi" w:hAnsiTheme="majorHAnsi" w:cstheme="majorHAnsi"/>
        </w:rPr>
        <w:fldChar w:fldCharType="begin" w:fldLock="1"/>
      </w:r>
      <w:r>
        <w:rPr>
          <w:rFonts w:asciiTheme="majorHAnsi" w:hAnsiTheme="majorHAnsi" w:cstheme="majorHAnsi"/>
        </w:rPr>
        <w:instrText>ADDIN CSL_CITATION {"citationItems":[{"id":"ITEM-1","itemData":{"DOI":"10.53955/jhcls.v1i1.4","ISSN":"2807-2979","abstract":"Pollution and destruction of the environment are some of the severe threats to the conservation of the environment in Indonesia. The disturbed environmental balance needs to be restored as the giver of life and welfare benefits society by improving environmental protection, community development, and optimization of environmental law enforcement. It aims to maintain the existence of nature and aimed at solving environmental problems in Indonesia, primarily the caused by human activity. this case could be through civil, administrative, or criminal law so that it can cope with and take action against perpetrators of pollution, and the destruction of the environment and create a good environment, healthy, beautiful and comfortable for all people. Keywords: Environmental Law; Environmental Damage; Indonesia.","author":[{"dropping-particle":"","family":"Maruf","given":"Arifin","non-dropping-particle":"","parse-names":false,"suffix":""}],"container-title":"Journal of Human Rights, Culture and Legal System","id":"ITEM-1","issue":"1","issued":{"date-parts":[["2021"]]},"page":"2807-2812","title":"Legal Aspects of Environment in Indonesia: an Efforts to Prevent Environmental Damage and Pollution","type":"article-journal","volume":"1"},"uris":["http://www.mendeley.com/documents/?uuid=c12c6a28-be91-455a-986e-e06e0de07e2e"]}],"mendeley":{"formattedCitation":"Arifin Maruf, ‘Legal Aspects of Environment in Indonesia: An Efforts to Prevent Environmental Damage and Pollution’, &lt;i&gt;Journal of Human Rights, Culture and Legal System&lt;/i&gt;, 1.1 (2021), 2807–12 &lt;https://doi.org/10.53955/jhcls.v1i1.4&gt;.","plainTextFormattedCitation":"Arifin Maruf, ‘Legal Aspects of Environment in Indonesia: An Efforts to Prevent Environmental Damage and Pollution’, Journal of Human Rights, Culture and Legal System, 1.1 (2021), 2807–12 .","previouslyFormattedCitation":"Arifin Maruf, ‘Legal Aspects of Environment in Indonesia: An Efforts to Prevent Environmental Damage and Pollution’, &lt;i&gt;Journal of Human Rights, Culture and Legal System&lt;/i&gt;, 1.1 (2021), 2807–12 &lt;https://doi.org/10.53955/jhcls.v1i1.4&gt;."},"properties":{"noteIndex":63},"schema":"https://github.com/citation-style-language/schema/raw/master/csl-citation.json"}</w:instrText>
      </w:r>
      <w:r w:rsidRPr="005F7846">
        <w:rPr>
          <w:rFonts w:asciiTheme="majorHAnsi" w:hAnsiTheme="majorHAnsi" w:cstheme="majorHAnsi"/>
        </w:rPr>
        <w:fldChar w:fldCharType="separate"/>
      </w:r>
      <w:r w:rsidRPr="005F7846">
        <w:rPr>
          <w:rFonts w:asciiTheme="majorHAnsi" w:hAnsiTheme="majorHAnsi" w:cstheme="majorHAnsi"/>
          <w:noProof/>
        </w:rPr>
        <w:t xml:space="preserve">Arifin Maruf, ‘Legal Aspects of Environment in Indonesia: An Efforts to Prevent Environmental Damage and Pollution’, </w:t>
      </w:r>
      <w:r w:rsidRPr="005F7846">
        <w:rPr>
          <w:rFonts w:asciiTheme="majorHAnsi" w:hAnsiTheme="majorHAnsi" w:cstheme="majorHAnsi"/>
          <w:i/>
          <w:noProof/>
        </w:rPr>
        <w:t>Journal of Human Rights, Culture and Legal System</w:t>
      </w:r>
      <w:r w:rsidRPr="005F7846">
        <w:rPr>
          <w:rFonts w:asciiTheme="majorHAnsi" w:hAnsiTheme="majorHAnsi" w:cstheme="majorHAnsi"/>
          <w:noProof/>
        </w:rPr>
        <w:t>, 1.1 (2021), 2807–12 &lt;https://doi.org/10.53955/jhcls.v1i1.4&gt;.</w:t>
      </w:r>
      <w:r w:rsidRPr="005F7846">
        <w:rPr>
          <w:rFonts w:asciiTheme="majorHAnsi" w:hAnsiTheme="majorHAnsi" w:cstheme="majorHAnsi"/>
        </w:rPr>
        <w:fldChar w:fldCharType="end"/>
      </w:r>
    </w:p>
  </w:footnote>
  <w:footnote w:id="64">
    <w:p w:rsidR="005F7846" w:rsidRPr="005F7846" w:rsidRDefault="005F7846" w:rsidP="005F7846">
      <w:pPr>
        <w:pStyle w:val="FootnoteText"/>
        <w:ind w:firstLine="284"/>
        <w:jc w:val="both"/>
        <w:rPr>
          <w:rFonts w:asciiTheme="majorHAnsi" w:hAnsiTheme="majorHAnsi" w:cstheme="majorHAnsi"/>
        </w:rPr>
      </w:pPr>
      <w:r w:rsidRPr="005F7846">
        <w:rPr>
          <w:rStyle w:val="FootnoteReference"/>
          <w:rFonts w:asciiTheme="majorHAnsi" w:hAnsiTheme="majorHAnsi" w:cstheme="majorHAnsi"/>
        </w:rPr>
        <w:footnoteRef/>
      </w:r>
      <w:r w:rsidRPr="005F7846">
        <w:rPr>
          <w:rFonts w:asciiTheme="majorHAnsi" w:hAnsiTheme="majorHAnsi" w:cstheme="majorHAnsi"/>
        </w:rPr>
        <w:t xml:space="preserve"> </w:t>
      </w:r>
      <w:r w:rsidRPr="005F7846">
        <w:rPr>
          <w:rFonts w:asciiTheme="majorHAnsi" w:hAnsiTheme="majorHAnsi" w:cstheme="majorHAnsi"/>
        </w:rPr>
        <w:fldChar w:fldCharType="begin" w:fldLock="1"/>
      </w:r>
      <w:r>
        <w:rPr>
          <w:rFonts w:asciiTheme="majorHAnsi" w:hAnsiTheme="majorHAnsi" w:cstheme="majorHAnsi"/>
        </w:rPr>
        <w:instrText>ADDIN CSL_CITATION {"citationItems":[{"id":"ITEM-1","itemData":{"DOI":"https://doi.org/10.53955/jhcls.v2i1.23","author":[{"dropping-particle":"","family":"Siboy","given":"Ahmad","non-dropping-particle":"","parse-names":false,"suffix":""},{"dropping-particle":"","family":"Virga","given":"Al-fatih","non-dropping-particle":"","parse-names":false,"suffix":""},{"dropping-particle":"","family":"Efendi","given":"Dwi","non-dropping-particle":"","parse-names":false,"suffix":""},{"dropping-particle":"","family":"Hidayah","given":"Putri","non-dropping-particle":"","parse-names":false,"suffix":""}],"container-title":"Journal of Human Rights, Culture and Legal System","id":"ITEM-1","issue":"1","issued":{"date-parts":[["2022"]]},"page":"14-30","title":"The Effectiveness of Administrative Efforts in Reducing State Administration Disputes","type":"article-journal","volume":"2"},"uris":["http://www.mendeley.com/documents/?uuid=9b91cd65-4c0f-4c58-8ea2-163910793982"]}],"mendeley":{"formattedCitation":"Ahmad Siboy and others, ‘The Effectiveness of Administrative Efforts in Reducing State Administration Disputes’, &lt;i&gt;Journal of Human Rights, Culture and Legal System&lt;/i&gt;, 2.1 (2022), 14–30 &lt;https://doi.org/https://doi.org/10.53955/jhcls.v2i1.23&gt;.","plainTextFormattedCitation":"Ahmad Siboy and others, ‘The Effectiveness of Administrative Efforts in Reducing State Administration Disputes’, Journal of Human Rights, Culture and Legal System, 2.1 (2022), 14–30 .","previouslyFormattedCitation":"Ahmad Siboy and others, ‘The Effectiveness of Administrative Efforts in Reducing State Administration Disputes’, &lt;i&gt;Journal of Human Rights, Culture and Legal System&lt;/i&gt;, 2.1 (2022), 14–30 &lt;https://doi.org/https://doi.org/10.53955/jhcls.v2i1.23&gt;."},"properties":{"noteIndex":64},"schema":"https://github.com/citation-style-language/schema/raw/master/csl-citation.json"}</w:instrText>
      </w:r>
      <w:r w:rsidRPr="005F7846">
        <w:rPr>
          <w:rFonts w:asciiTheme="majorHAnsi" w:hAnsiTheme="majorHAnsi" w:cstheme="majorHAnsi"/>
        </w:rPr>
        <w:fldChar w:fldCharType="separate"/>
      </w:r>
      <w:r w:rsidRPr="005F7846">
        <w:rPr>
          <w:rFonts w:asciiTheme="majorHAnsi" w:hAnsiTheme="majorHAnsi" w:cstheme="majorHAnsi"/>
          <w:noProof/>
        </w:rPr>
        <w:t xml:space="preserve">Ahmad Siboy and others, ‘The Effectiveness of Administrative Efforts in Reducing State Administration Disputes’, </w:t>
      </w:r>
      <w:r w:rsidRPr="005F7846">
        <w:rPr>
          <w:rFonts w:asciiTheme="majorHAnsi" w:hAnsiTheme="majorHAnsi" w:cstheme="majorHAnsi"/>
          <w:i/>
          <w:noProof/>
        </w:rPr>
        <w:t>Journal of Human Rights, Culture and Legal System</w:t>
      </w:r>
      <w:r w:rsidRPr="005F7846">
        <w:rPr>
          <w:rFonts w:asciiTheme="majorHAnsi" w:hAnsiTheme="majorHAnsi" w:cstheme="majorHAnsi"/>
          <w:noProof/>
        </w:rPr>
        <w:t>, 2.1 (2022), 14–30 &lt;https://doi.org/https://doi.org/10.53955/jhcls.v2i1.23&gt;.</w:t>
      </w:r>
      <w:r w:rsidRPr="005F7846">
        <w:rPr>
          <w:rFonts w:asciiTheme="majorHAnsi" w:hAnsiTheme="majorHAnsi" w:cstheme="majorHAnsi"/>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4F9D" w:rsidRPr="00E07E37" w:rsidRDefault="00334F9D">
    <w:pPr>
      <w:pStyle w:val="Header"/>
      <w:rPr>
        <w:rFonts w:asciiTheme="majorHAnsi" w:hAnsiTheme="majorHAnsi" w:cstheme="majorHAnsi"/>
        <w:sz w:val="20"/>
        <w:lang w:val="id-ID"/>
      </w:rPr>
    </w:pPr>
    <w:r w:rsidRPr="00E07E37">
      <w:rPr>
        <w:rFonts w:asciiTheme="majorHAnsi" w:hAnsiTheme="majorHAnsi" w:cstheme="majorHAnsi"/>
        <w:b/>
        <w:sz w:val="20"/>
        <w:lang w:val="id-ID"/>
      </w:rPr>
      <w:t xml:space="preserve">P-ISSN: </w:t>
    </w:r>
    <w:r w:rsidRPr="00E07E37">
      <w:rPr>
        <w:rFonts w:asciiTheme="majorHAnsi" w:hAnsiTheme="majorHAnsi" w:cstheme="majorHAnsi"/>
        <w:sz w:val="20"/>
        <w:lang w:val="id-ID"/>
      </w:rPr>
      <w:t>2442-9880,</w:t>
    </w:r>
    <w:r w:rsidRPr="00E07E37">
      <w:rPr>
        <w:rFonts w:asciiTheme="majorHAnsi" w:hAnsiTheme="majorHAnsi" w:cstheme="majorHAnsi"/>
        <w:b/>
        <w:sz w:val="20"/>
        <w:lang w:val="id-ID"/>
      </w:rPr>
      <w:t xml:space="preserve"> E-ISSN: </w:t>
    </w:r>
    <w:r w:rsidRPr="00E07E37">
      <w:rPr>
        <w:rFonts w:asciiTheme="majorHAnsi" w:hAnsiTheme="majorHAnsi" w:cstheme="majorHAnsi"/>
        <w:sz w:val="20"/>
        <w:lang w:val="id-ID"/>
      </w:rPr>
      <w:t>2442-9899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788A" w:rsidRPr="00E07E37" w:rsidRDefault="0009788A" w:rsidP="00334F9D">
    <w:pPr>
      <w:pStyle w:val="Header"/>
      <w:jc w:val="right"/>
      <w:rPr>
        <w:rFonts w:asciiTheme="majorHAnsi" w:hAnsiTheme="majorHAnsi" w:cstheme="majorHAnsi"/>
        <w:i/>
        <w:sz w:val="20"/>
        <w:lang w:val="id-ID"/>
      </w:rPr>
    </w:pPr>
    <w:r w:rsidRPr="00E07E37">
      <w:rPr>
        <w:rFonts w:asciiTheme="majorHAnsi" w:hAnsiTheme="majorHAnsi" w:cstheme="majorHAnsi"/>
        <w:b/>
        <w:i/>
        <w:sz w:val="20"/>
        <w:lang w:val="id-ID"/>
      </w:rPr>
      <w:t>Hasanuddin Law Rev.</w:t>
    </w:r>
    <w:r w:rsidRPr="00E07E37">
      <w:rPr>
        <w:rFonts w:asciiTheme="majorHAnsi" w:hAnsiTheme="majorHAnsi" w:cstheme="majorHAnsi"/>
        <w:i/>
        <w:sz w:val="20"/>
        <w:lang w:val="id-ID"/>
      </w:rPr>
      <w:t xml:space="preserve"> </w:t>
    </w:r>
    <w:r w:rsidR="00585EE9" w:rsidRPr="00E07E37">
      <w:rPr>
        <w:rFonts w:asciiTheme="majorHAnsi" w:hAnsiTheme="majorHAnsi" w:cstheme="majorHAnsi"/>
        <w:i/>
        <w:sz w:val="20"/>
      </w:rPr>
      <w:t>7</w:t>
    </w:r>
    <w:r w:rsidRPr="00E07E37">
      <w:rPr>
        <w:rFonts w:asciiTheme="majorHAnsi" w:hAnsiTheme="majorHAnsi" w:cstheme="majorHAnsi"/>
        <w:i/>
        <w:sz w:val="20"/>
        <w:lang w:val="id-ID"/>
      </w:rPr>
      <w:t>(2): 101-133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357F" w:rsidRPr="000D479C" w:rsidRDefault="00D571BD" w:rsidP="000D479C">
    <w:pPr>
      <w:pStyle w:val="Header"/>
      <w:jc w:val="right"/>
      <w:rPr>
        <w:rFonts w:ascii="Century Gothic" w:hAnsi="Century Gothic" w:cs="Devanagari MT"/>
        <w:color w:val="B00000"/>
        <w:sz w:val="76"/>
      </w:rPr>
    </w:pPr>
    <w:bookmarkStart w:id="4" w:name="_Hlk490921290"/>
    <w:bookmarkStart w:id="5" w:name="_Hlk490921291"/>
    <w:bookmarkStart w:id="6" w:name="_Hlk490921292"/>
    <w:r>
      <w:rPr>
        <w:rFonts w:ascii="Century Gothic" w:hAnsi="Century Gothic" w:cs="Devanagari MT"/>
        <w:b/>
        <w:noProof/>
        <w:sz w:val="36"/>
        <w:szCs w:val="60"/>
      </w:rPr>
      <mc:AlternateContent>
        <mc:Choice Requires="wps">
          <w:drawing>
            <wp:anchor distT="0" distB="0" distL="114300" distR="114300" simplePos="0" relativeHeight="251666432" behindDoc="0" locked="0" layoutInCell="1" allowOverlap="1" wp14:anchorId="2F716DA8" wp14:editId="2D888FD6">
              <wp:simplePos x="0" y="0"/>
              <wp:positionH relativeFrom="column">
                <wp:posOffset>-95929</wp:posOffset>
              </wp:positionH>
              <wp:positionV relativeFrom="paragraph">
                <wp:posOffset>-258445</wp:posOffset>
              </wp:positionV>
              <wp:extent cx="2551814" cy="453655"/>
              <wp:effectExtent l="0" t="0" r="0" b="0"/>
              <wp:wrapNone/>
              <wp:docPr id="16" name="Rectangle 16"/>
              <wp:cNvGraphicFramePr/>
              <a:graphic xmlns:a="http://schemas.openxmlformats.org/drawingml/2006/main">
                <a:graphicData uri="http://schemas.microsoft.com/office/word/2010/wordprocessingShape">
                  <wps:wsp>
                    <wps:cNvSpPr/>
                    <wps:spPr>
                      <a:xfrm>
                        <a:off x="0" y="0"/>
                        <a:ext cx="2551814" cy="4536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571BD" w:rsidRPr="003D70E2" w:rsidRDefault="008A35A3" w:rsidP="00D571BD">
                          <w:pPr>
                            <w:pStyle w:val="Header"/>
                            <w:rPr>
                              <w:rFonts w:asciiTheme="majorHAnsi" w:hAnsiTheme="majorHAnsi" w:cstheme="majorHAnsi"/>
                              <w:color w:val="000000" w:themeColor="text1"/>
                              <w:sz w:val="12"/>
                              <w:szCs w:val="12"/>
                            </w:rPr>
                          </w:pPr>
                          <w:r>
                            <w:rPr>
                              <w:rFonts w:asciiTheme="majorHAnsi" w:hAnsiTheme="majorHAnsi" w:cstheme="majorHAnsi"/>
                              <w:color w:val="000000" w:themeColor="text1"/>
                              <w:sz w:val="12"/>
                              <w:szCs w:val="12"/>
                            </w:rPr>
                            <w:t xml:space="preserve">Author’s name: </w:t>
                          </w:r>
                          <w:proofErr w:type="spellStart"/>
                          <w:r w:rsidR="000934AF">
                            <w:rPr>
                              <w:rFonts w:asciiTheme="majorHAnsi" w:hAnsiTheme="majorHAnsi" w:cstheme="majorHAnsi"/>
                              <w:color w:val="000000" w:themeColor="text1"/>
                              <w:sz w:val="12"/>
                              <w:szCs w:val="12"/>
                            </w:rPr>
                            <w:t>Yunus</w:t>
                          </w:r>
                          <w:proofErr w:type="spellEnd"/>
                          <w:r w:rsidR="00D571BD" w:rsidRPr="003D70E2">
                            <w:rPr>
                              <w:rFonts w:asciiTheme="majorHAnsi" w:hAnsiTheme="majorHAnsi" w:cstheme="majorHAnsi"/>
                              <w:color w:val="000000" w:themeColor="text1"/>
                              <w:sz w:val="12"/>
                              <w:szCs w:val="12"/>
                            </w:rPr>
                            <w:t xml:space="preserve">, </w:t>
                          </w:r>
                          <w:r w:rsidR="000934AF">
                            <w:rPr>
                              <w:rFonts w:asciiTheme="majorHAnsi" w:hAnsiTheme="majorHAnsi" w:cstheme="majorHAnsi"/>
                              <w:color w:val="000000" w:themeColor="text1"/>
                              <w:sz w:val="12"/>
                              <w:szCs w:val="12"/>
                            </w:rPr>
                            <w:t xml:space="preserve">Ahsan, </w:t>
                          </w:r>
                          <w:proofErr w:type="spellStart"/>
                          <w:r w:rsidR="000934AF">
                            <w:rPr>
                              <w:rFonts w:asciiTheme="majorHAnsi" w:hAnsiTheme="majorHAnsi" w:cstheme="majorHAnsi"/>
                              <w:color w:val="000000" w:themeColor="text1"/>
                              <w:sz w:val="12"/>
                              <w:szCs w:val="12"/>
                            </w:rPr>
                            <w:t>Aarne</w:t>
                          </w:r>
                          <w:proofErr w:type="spellEnd"/>
                          <w:r w:rsidR="000934AF">
                            <w:rPr>
                              <w:rFonts w:asciiTheme="majorHAnsi" w:hAnsiTheme="majorHAnsi" w:cstheme="majorHAnsi"/>
                              <w:color w:val="000000" w:themeColor="text1"/>
                              <w:sz w:val="12"/>
                              <w:szCs w:val="12"/>
                            </w:rPr>
                            <w:t xml:space="preserve"> </w:t>
                          </w:r>
                          <w:proofErr w:type="spellStart"/>
                          <w:r w:rsidR="00D571BD" w:rsidRPr="003D70E2">
                            <w:rPr>
                              <w:rFonts w:asciiTheme="majorHAnsi" w:hAnsiTheme="majorHAnsi" w:cstheme="majorHAnsi"/>
                              <w:color w:val="000000" w:themeColor="text1"/>
                              <w:sz w:val="12"/>
                              <w:szCs w:val="12"/>
                            </w:rPr>
                            <w:t>P</w:t>
                          </w:r>
                          <w:r w:rsidR="000934AF">
                            <w:rPr>
                              <w:rFonts w:asciiTheme="majorHAnsi" w:hAnsiTheme="majorHAnsi" w:cstheme="majorHAnsi"/>
                              <w:color w:val="000000" w:themeColor="text1"/>
                              <w:sz w:val="12"/>
                              <w:szCs w:val="12"/>
                            </w:rPr>
                            <w:t>o</w:t>
                          </w:r>
                          <w:r w:rsidR="00D571BD" w:rsidRPr="003D70E2">
                            <w:rPr>
                              <w:rFonts w:asciiTheme="majorHAnsi" w:hAnsiTheme="majorHAnsi" w:cstheme="majorHAnsi"/>
                              <w:color w:val="000000" w:themeColor="text1"/>
                              <w:sz w:val="12"/>
                              <w:szCs w:val="12"/>
                            </w:rPr>
                            <w:t>ist</w:t>
                          </w:r>
                          <w:r w:rsidR="000934AF">
                            <w:rPr>
                              <w:rFonts w:asciiTheme="majorHAnsi" w:hAnsiTheme="majorHAnsi" w:cstheme="majorHAnsi"/>
                              <w:color w:val="000000" w:themeColor="text1"/>
                              <w:sz w:val="12"/>
                              <w:szCs w:val="12"/>
                            </w:rPr>
                            <w:t>u</w:t>
                          </w:r>
                          <w:proofErr w:type="spellEnd"/>
                          <w:r w:rsidR="00D571BD" w:rsidRPr="003D70E2">
                            <w:rPr>
                              <w:rFonts w:asciiTheme="majorHAnsi" w:hAnsiTheme="majorHAnsi" w:cstheme="majorHAnsi"/>
                              <w:color w:val="000000" w:themeColor="text1"/>
                              <w:sz w:val="12"/>
                              <w:szCs w:val="12"/>
                            </w:rPr>
                            <w:t xml:space="preserve">, </w:t>
                          </w:r>
                          <w:r w:rsidR="000934AF">
                            <w:rPr>
                              <w:rFonts w:asciiTheme="majorHAnsi" w:hAnsiTheme="majorHAnsi" w:cstheme="majorHAnsi"/>
                              <w:color w:val="000000" w:themeColor="text1"/>
                              <w:sz w:val="12"/>
                              <w:szCs w:val="12"/>
                            </w:rPr>
                            <w:t xml:space="preserve">and </w:t>
                          </w:r>
                          <w:proofErr w:type="spellStart"/>
                          <w:r w:rsidR="000934AF">
                            <w:rPr>
                              <w:rFonts w:asciiTheme="majorHAnsi" w:hAnsiTheme="majorHAnsi" w:cstheme="majorHAnsi"/>
                              <w:color w:val="000000" w:themeColor="text1"/>
                              <w:sz w:val="12"/>
                              <w:szCs w:val="12"/>
                            </w:rPr>
                            <w:t>Irwansyah</w:t>
                          </w:r>
                          <w:proofErr w:type="spellEnd"/>
                          <w:r w:rsidR="00D571BD" w:rsidRPr="003D70E2">
                            <w:rPr>
                              <w:rFonts w:asciiTheme="majorHAnsi" w:hAnsiTheme="majorHAnsi" w:cstheme="majorHAnsi"/>
                              <w:color w:val="000000" w:themeColor="text1"/>
                              <w:sz w:val="12"/>
                              <w:szCs w:val="12"/>
                            </w:rPr>
                            <w:t xml:space="preserve">. </w:t>
                          </w:r>
                          <w:r w:rsidR="000934AF">
                            <w:rPr>
                              <w:rFonts w:asciiTheme="majorHAnsi" w:hAnsiTheme="majorHAnsi" w:cstheme="majorHAnsi"/>
                              <w:color w:val="000000" w:themeColor="text1"/>
                              <w:sz w:val="12"/>
                              <w:szCs w:val="12"/>
                            </w:rPr>
                            <w:t>“</w:t>
                          </w:r>
                          <w:r>
                            <w:rPr>
                              <w:rFonts w:asciiTheme="majorHAnsi" w:hAnsiTheme="majorHAnsi" w:cstheme="majorHAnsi"/>
                              <w:color w:val="000000" w:themeColor="text1"/>
                              <w:sz w:val="12"/>
                              <w:szCs w:val="12"/>
                            </w:rPr>
                            <w:t xml:space="preserve">Title: </w:t>
                          </w:r>
                          <w:r w:rsidR="00D571BD" w:rsidRPr="003D70E2">
                            <w:rPr>
                              <w:rFonts w:asciiTheme="majorHAnsi" w:hAnsiTheme="majorHAnsi" w:cstheme="majorHAnsi"/>
                              <w:color w:val="000000" w:themeColor="text1"/>
                              <w:sz w:val="12"/>
                              <w:szCs w:val="12"/>
                            </w:rPr>
                            <w:t xml:space="preserve">Abuse of Dominant Market Position by Predatory Pricing: The </w:t>
                          </w:r>
                          <w:proofErr w:type="spellStart"/>
                          <w:r w:rsidR="00D571BD" w:rsidRPr="003D70E2">
                            <w:rPr>
                              <w:rFonts w:asciiTheme="majorHAnsi" w:hAnsiTheme="majorHAnsi" w:cstheme="majorHAnsi"/>
                              <w:color w:val="000000" w:themeColor="text1"/>
                              <w:sz w:val="12"/>
                              <w:szCs w:val="12"/>
                            </w:rPr>
                            <w:t>Valio</w:t>
                          </w:r>
                          <w:proofErr w:type="spellEnd"/>
                          <w:r w:rsidR="00D571BD" w:rsidRPr="003D70E2">
                            <w:rPr>
                              <w:rFonts w:asciiTheme="majorHAnsi" w:hAnsiTheme="majorHAnsi" w:cstheme="majorHAnsi"/>
                              <w:color w:val="000000" w:themeColor="text1"/>
                              <w:sz w:val="12"/>
                              <w:szCs w:val="12"/>
                            </w:rPr>
                            <w:t xml:space="preserve"> Case</w:t>
                          </w:r>
                          <w:r w:rsidR="000934AF">
                            <w:rPr>
                              <w:rFonts w:asciiTheme="majorHAnsi" w:hAnsiTheme="majorHAnsi" w:cstheme="majorHAnsi"/>
                              <w:color w:val="000000" w:themeColor="text1"/>
                              <w:sz w:val="12"/>
                              <w:szCs w:val="12"/>
                            </w:rPr>
                            <w:t>.”</w:t>
                          </w:r>
                          <w:r w:rsidR="00D571BD" w:rsidRPr="003D70E2">
                            <w:rPr>
                              <w:rFonts w:asciiTheme="majorHAnsi" w:hAnsiTheme="majorHAnsi" w:cstheme="majorHAnsi"/>
                              <w:color w:val="000000" w:themeColor="text1"/>
                              <w:sz w:val="12"/>
                              <w:szCs w:val="12"/>
                            </w:rPr>
                            <w:t xml:space="preserve"> </w:t>
                          </w:r>
                          <w:proofErr w:type="spellStart"/>
                          <w:r w:rsidR="00D571BD" w:rsidRPr="003D70E2">
                            <w:rPr>
                              <w:rFonts w:asciiTheme="majorHAnsi" w:hAnsiTheme="majorHAnsi" w:cstheme="majorHAnsi"/>
                              <w:i/>
                              <w:color w:val="000000" w:themeColor="text1"/>
                              <w:sz w:val="12"/>
                              <w:szCs w:val="12"/>
                            </w:rPr>
                            <w:t>Hasanuddin</w:t>
                          </w:r>
                          <w:proofErr w:type="spellEnd"/>
                          <w:r w:rsidR="00D571BD" w:rsidRPr="003D70E2">
                            <w:rPr>
                              <w:rFonts w:asciiTheme="majorHAnsi" w:hAnsiTheme="majorHAnsi" w:cstheme="majorHAnsi"/>
                              <w:i/>
                              <w:color w:val="000000" w:themeColor="text1"/>
                              <w:sz w:val="12"/>
                              <w:szCs w:val="12"/>
                            </w:rPr>
                            <w:t xml:space="preserve"> Law Review</w:t>
                          </w:r>
                          <w:r w:rsidR="00D571BD" w:rsidRPr="003D70E2">
                            <w:rPr>
                              <w:rFonts w:asciiTheme="majorHAnsi" w:hAnsiTheme="majorHAnsi" w:cstheme="majorHAnsi"/>
                              <w:color w:val="000000" w:themeColor="text1"/>
                              <w:sz w:val="12"/>
                              <w:szCs w:val="12"/>
                            </w:rPr>
                            <w:t xml:space="preserve"> </w:t>
                          </w:r>
                          <w:r w:rsidR="00A018D9">
                            <w:rPr>
                              <w:rFonts w:asciiTheme="majorHAnsi" w:hAnsiTheme="majorHAnsi" w:cstheme="majorHAnsi"/>
                              <w:color w:val="000000" w:themeColor="text1"/>
                              <w:sz w:val="12"/>
                              <w:szCs w:val="12"/>
                            </w:rPr>
                            <w:t>7</w:t>
                          </w:r>
                          <w:r w:rsidR="000934AF">
                            <w:rPr>
                              <w:rFonts w:asciiTheme="majorHAnsi" w:hAnsiTheme="majorHAnsi" w:cstheme="majorHAnsi"/>
                              <w:color w:val="000000" w:themeColor="text1"/>
                              <w:sz w:val="12"/>
                              <w:szCs w:val="12"/>
                            </w:rPr>
                            <w:t xml:space="preserve"> no. </w:t>
                          </w:r>
                          <w:r w:rsidR="00D571BD" w:rsidRPr="003D70E2">
                            <w:rPr>
                              <w:rFonts w:asciiTheme="majorHAnsi" w:hAnsiTheme="majorHAnsi" w:cstheme="majorHAnsi"/>
                              <w:color w:val="000000" w:themeColor="text1"/>
                              <w:sz w:val="12"/>
                              <w:szCs w:val="12"/>
                            </w:rPr>
                            <w:t>2</w:t>
                          </w:r>
                          <w:r w:rsidR="000934AF">
                            <w:rPr>
                              <w:rFonts w:asciiTheme="majorHAnsi" w:hAnsiTheme="majorHAnsi" w:cstheme="majorHAnsi"/>
                              <w:color w:val="000000" w:themeColor="text1"/>
                              <w:sz w:val="12"/>
                              <w:szCs w:val="12"/>
                            </w:rPr>
                            <w:t xml:space="preserve"> </w:t>
                          </w:r>
                          <w:r w:rsidR="000934AF" w:rsidRPr="003D70E2">
                            <w:rPr>
                              <w:rFonts w:asciiTheme="majorHAnsi" w:hAnsiTheme="majorHAnsi" w:cstheme="majorHAnsi"/>
                              <w:color w:val="000000" w:themeColor="text1"/>
                              <w:sz w:val="12"/>
                              <w:szCs w:val="12"/>
                            </w:rPr>
                            <w:t>(20</w:t>
                          </w:r>
                          <w:r w:rsidR="000934AF">
                            <w:rPr>
                              <w:rFonts w:asciiTheme="majorHAnsi" w:hAnsiTheme="majorHAnsi" w:cstheme="majorHAnsi"/>
                              <w:color w:val="000000" w:themeColor="text1"/>
                              <w:sz w:val="12"/>
                              <w:szCs w:val="12"/>
                            </w:rPr>
                            <w:t>2</w:t>
                          </w:r>
                          <w:r w:rsidR="000934AF" w:rsidRPr="003D70E2">
                            <w:rPr>
                              <w:rFonts w:asciiTheme="majorHAnsi" w:hAnsiTheme="majorHAnsi" w:cstheme="majorHAnsi"/>
                              <w:color w:val="000000" w:themeColor="text1"/>
                              <w:sz w:val="12"/>
                              <w:szCs w:val="12"/>
                            </w:rPr>
                            <w:t>1)</w:t>
                          </w:r>
                          <w:r w:rsidR="00D571BD" w:rsidRPr="003D70E2">
                            <w:rPr>
                              <w:rFonts w:asciiTheme="majorHAnsi" w:hAnsiTheme="majorHAnsi" w:cstheme="majorHAnsi"/>
                              <w:color w:val="000000" w:themeColor="text1"/>
                              <w:sz w:val="12"/>
                              <w:szCs w:val="12"/>
                            </w:rPr>
                            <w:t xml:space="preserve">: </w:t>
                          </w:r>
                          <w:r>
                            <w:rPr>
                              <w:rFonts w:asciiTheme="majorHAnsi" w:hAnsiTheme="majorHAnsi" w:cstheme="majorHAnsi"/>
                              <w:color w:val="000000" w:themeColor="text1"/>
                              <w:sz w:val="12"/>
                              <w:szCs w:val="12"/>
                            </w:rPr>
                            <w:t>XXX</w:t>
                          </w:r>
                          <w:r w:rsidR="00D571BD" w:rsidRPr="003D70E2">
                            <w:rPr>
                              <w:rFonts w:asciiTheme="majorHAnsi" w:hAnsiTheme="majorHAnsi" w:cstheme="majorHAnsi"/>
                              <w:color w:val="000000" w:themeColor="text1"/>
                              <w:sz w:val="12"/>
                              <w:szCs w:val="12"/>
                            </w:rPr>
                            <w:t>-</w:t>
                          </w:r>
                          <w:r>
                            <w:rPr>
                              <w:rFonts w:asciiTheme="majorHAnsi" w:hAnsiTheme="majorHAnsi" w:cstheme="majorHAnsi"/>
                              <w:color w:val="000000" w:themeColor="text1"/>
                              <w:sz w:val="12"/>
                              <w:szCs w:val="12"/>
                            </w:rPr>
                            <w:t>XXX</w:t>
                          </w:r>
                          <w:r w:rsidR="00D571BD" w:rsidRPr="003D70E2">
                            <w:rPr>
                              <w:rFonts w:asciiTheme="majorHAnsi" w:hAnsiTheme="majorHAnsi" w:cstheme="majorHAnsi"/>
                              <w:color w:val="000000" w:themeColor="text1"/>
                              <w:sz w:val="12"/>
                              <w:szCs w:val="12"/>
                            </w:rPr>
                            <w:t>. DOI:</w:t>
                          </w:r>
                          <w:r w:rsidR="00A355A1" w:rsidRPr="003D70E2">
                            <w:rPr>
                              <w:rFonts w:asciiTheme="majorHAnsi" w:hAnsiTheme="majorHAnsi" w:cstheme="majorHAnsi"/>
                              <w:color w:val="000000" w:themeColor="text1"/>
                              <w:sz w:val="12"/>
                              <w:szCs w:val="12"/>
                            </w:rPr>
                            <w:t xml:space="preserve"> </w:t>
                          </w:r>
                          <w:hyperlink r:id="rId1" w:history="1">
                            <w:r w:rsidR="00A355A1" w:rsidRPr="003D70E2">
                              <w:rPr>
                                <w:rStyle w:val="Hyperlink"/>
                                <w:rFonts w:asciiTheme="majorHAnsi" w:hAnsiTheme="majorHAnsi" w:cstheme="majorHAnsi"/>
                                <w:color w:val="C00000"/>
                                <w:sz w:val="12"/>
                                <w:szCs w:val="12"/>
                                <w:u w:val="none"/>
                              </w:rPr>
                              <w:t>10.20956/halrev.v</w:t>
                            </w:r>
                            <w:r w:rsidR="00A018D9">
                              <w:rPr>
                                <w:rStyle w:val="Hyperlink"/>
                                <w:rFonts w:asciiTheme="majorHAnsi" w:hAnsiTheme="majorHAnsi" w:cstheme="majorHAnsi"/>
                                <w:color w:val="C00000"/>
                                <w:sz w:val="12"/>
                                <w:szCs w:val="12"/>
                                <w:u w:val="none"/>
                              </w:rPr>
                              <w:t>7</w:t>
                            </w:r>
                            <w:r w:rsidR="00A355A1" w:rsidRPr="003D70E2">
                              <w:rPr>
                                <w:rStyle w:val="Hyperlink"/>
                                <w:rFonts w:asciiTheme="majorHAnsi" w:hAnsiTheme="majorHAnsi" w:cstheme="majorHAnsi"/>
                                <w:color w:val="C00000"/>
                                <w:sz w:val="12"/>
                                <w:szCs w:val="12"/>
                                <w:u w:val="none"/>
                              </w:rPr>
                              <w:t>i</w:t>
                            </w:r>
                            <w:r w:rsidR="00A018D9">
                              <w:rPr>
                                <w:rStyle w:val="Hyperlink"/>
                                <w:rFonts w:asciiTheme="majorHAnsi" w:hAnsiTheme="majorHAnsi" w:cstheme="majorHAnsi"/>
                                <w:color w:val="C00000"/>
                                <w:sz w:val="12"/>
                                <w:szCs w:val="12"/>
                                <w:u w:val="none"/>
                              </w:rPr>
                              <w:t>2</w:t>
                            </w:r>
                            <w:r w:rsidR="00A355A1" w:rsidRPr="003D70E2">
                              <w:rPr>
                                <w:rStyle w:val="Hyperlink"/>
                                <w:rFonts w:asciiTheme="majorHAnsi" w:hAnsiTheme="majorHAnsi" w:cstheme="majorHAnsi"/>
                                <w:color w:val="C00000"/>
                                <w:sz w:val="12"/>
                                <w:szCs w:val="12"/>
                                <w:u w:val="none"/>
                              </w:rPr>
                              <w:t>.</w:t>
                            </w:r>
                            <w:r>
                              <w:rPr>
                                <w:rStyle w:val="Hyperlink"/>
                                <w:rFonts w:asciiTheme="majorHAnsi" w:hAnsiTheme="majorHAnsi" w:cstheme="majorHAnsi"/>
                                <w:color w:val="C00000"/>
                                <w:sz w:val="12"/>
                                <w:szCs w:val="12"/>
                                <w:u w:val="none"/>
                              </w:rPr>
                              <w:t>xxxx</w:t>
                            </w:r>
                            <w:r w:rsidR="00D571BD" w:rsidRPr="003D70E2">
                              <w:rPr>
                                <w:rStyle w:val="Hyperlink"/>
                                <w:rFonts w:asciiTheme="majorHAnsi" w:hAnsiTheme="majorHAnsi" w:cstheme="majorHAnsi"/>
                                <w:color w:val="C00000"/>
                                <w:sz w:val="12"/>
                                <w:szCs w:val="12"/>
                              </w:rPr>
                              <w:t xml:space="preserve"> </w:t>
                            </w:r>
                          </w:hyperlink>
                          <w:r w:rsidR="00D571BD" w:rsidRPr="003D70E2">
                            <w:rPr>
                              <w:rFonts w:asciiTheme="majorHAnsi" w:hAnsiTheme="majorHAnsi" w:cstheme="majorHAnsi"/>
                              <w:color w:val="C00000"/>
                              <w:sz w:val="12"/>
                              <w:szCs w:val="12"/>
                            </w:rPr>
                            <w:t xml:space="preserve"> </w:t>
                          </w:r>
                        </w:p>
                        <w:p w:rsidR="00D571BD" w:rsidRPr="003D70E2" w:rsidRDefault="00D571BD" w:rsidP="00D571BD">
                          <w:pPr>
                            <w:jc w:val="center"/>
                            <w:rPr>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716DA8" id="Rectangle 16" o:spid="_x0000_s1026" style="position:absolute;left:0;text-align:left;margin-left:-7.55pt;margin-top:-20.35pt;width:200.95pt;height:35.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" filled="f" stroked="f" strokeweight="1pt">
              <v:textbox>
                <w:txbxContent>
                  <w:p w:rsidR="00D571BD" w:rsidRPr="003D70E2" w:rsidRDefault="008A35A3" w:rsidP="00D571BD">
                    <w:pPr>
                      <w:pStyle w:val="Header"/>
                      <w:rPr>
                        <w:rFonts w:asciiTheme="majorHAnsi" w:hAnsiTheme="majorHAnsi" w:cstheme="majorHAnsi"/>
                        <w:color w:val="000000" w:themeColor="text1"/>
                        <w:sz w:val="12"/>
                        <w:szCs w:val="12"/>
                      </w:rPr>
                    </w:pPr>
                    <w:r>
                      <w:rPr>
                        <w:rFonts w:asciiTheme="majorHAnsi" w:hAnsiTheme="majorHAnsi" w:cstheme="majorHAnsi"/>
                        <w:color w:val="000000" w:themeColor="text1"/>
                        <w:sz w:val="12"/>
                        <w:szCs w:val="12"/>
                      </w:rPr>
                      <w:t xml:space="preserve">Author’s name: </w:t>
                    </w:r>
                    <w:proofErr w:type="spellStart"/>
                    <w:r w:rsidR="000934AF">
                      <w:rPr>
                        <w:rFonts w:asciiTheme="majorHAnsi" w:hAnsiTheme="majorHAnsi" w:cstheme="majorHAnsi"/>
                        <w:color w:val="000000" w:themeColor="text1"/>
                        <w:sz w:val="12"/>
                        <w:szCs w:val="12"/>
                      </w:rPr>
                      <w:t>Yunus</w:t>
                    </w:r>
                    <w:proofErr w:type="spellEnd"/>
                    <w:r w:rsidR="00D571BD" w:rsidRPr="003D70E2">
                      <w:rPr>
                        <w:rFonts w:asciiTheme="majorHAnsi" w:hAnsiTheme="majorHAnsi" w:cstheme="majorHAnsi"/>
                        <w:color w:val="000000" w:themeColor="text1"/>
                        <w:sz w:val="12"/>
                        <w:szCs w:val="12"/>
                      </w:rPr>
                      <w:t xml:space="preserve">, </w:t>
                    </w:r>
                    <w:r w:rsidR="000934AF">
                      <w:rPr>
                        <w:rFonts w:asciiTheme="majorHAnsi" w:hAnsiTheme="majorHAnsi" w:cstheme="majorHAnsi"/>
                        <w:color w:val="000000" w:themeColor="text1"/>
                        <w:sz w:val="12"/>
                        <w:szCs w:val="12"/>
                      </w:rPr>
                      <w:t xml:space="preserve">Ahsan, </w:t>
                    </w:r>
                    <w:proofErr w:type="spellStart"/>
                    <w:r w:rsidR="000934AF">
                      <w:rPr>
                        <w:rFonts w:asciiTheme="majorHAnsi" w:hAnsiTheme="majorHAnsi" w:cstheme="majorHAnsi"/>
                        <w:color w:val="000000" w:themeColor="text1"/>
                        <w:sz w:val="12"/>
                        <w:szCs w:val="12"/>
                      </w:rPr>
                      <w:t>Aarne</w:t>
                    </w:r>
                    <w:proofErr w:type="spellEnd"/>
                    <w:r w:rsidR="000934AF">
                      <w:rPr>
                        <w:rFonts w:asciiTheme="majorHAnsi" w:hAnsiTheme="majorHAnsi" w:cstheme="majorHAnsi"/>
                        <w:color w:val="000000" w:themeColor="text1"/>
                        <w:sz w:val="12"/>
                        <w:szCs w:val="12"/>
                      </w:rPr>
                      <w:t xml:space="preserve"> </w:t>
                    </w:r>
                    <w:proofErr w:type="spellStart"/>
                    <w:r w:rsidR="00D571BD" w:rsidRPr="003D70E2">
                      <w:rPr>
                        <w:rFonts w:asciiTheme="majorHAnsi" w:hAnsiTheme="majorHAnsi" w:cstheme="majorHAnsi"/>
                        <w:color w:val="000000" w:themeColor="text1"/>
                        <w:sz w:val="12"/>
                        <w:szCs w:val="12"/>
                      </w:rPr>
                      <w:t>P</w:t>
                    </w:r>
                    <w:r w:rsidR="000934AF">
                      <w:rPr>
                        <w:rFonts w:asciiTheme="majorHAnsi" w:hAnsiTheme="majorHAnsi" w:cstheme="majorHAnsi"/>
                        <w:color w:val="000000" w:themeColor="text1"/>
                        <w:sz w:val="12"/>
                        <w:szCs w:val="12"/>
                      </w:rPr>
                      <w:t>o</w:t>
                    </w:r>
                    <w:r w:rsidR="00D571BD" w:rsidRPr="003D70E2">
                      <w:rPr>
                        <w:rFonts w:asciiTheme="majorHAnsi" w:hAnsiTheme="majorHAnsi" w:cstheme="majorHAnsi"/>
                        <w:color w:val="000000" w:themeColor="text1"/>
                        <w:sz w:val="12"/>
                        <w:szCs w:val="12"/>
                      </w:rPr>
                      <w:t>ist</w:t>
                    </w:r>
                    <w:r w:rsidR="000934AF">
                      <w:rPr>
                        <w:rFonts w:asciiTheme="majorHAnsi" w:hAnsiTheme="majorHAnsi" w:cstheme="majorHAnsi"/>
                        <w:color w:val="000000" w:themeColor="text1"/>
                        <w:sz w:val="12"/>
                        <w:szCs w:val="12"/>
                      </w:rPr>
                      <w:t>u</w:t>
                    </w:r>
                    <w:proofErr w:type="spellEnd"/>
                    <w:r w:rsidR="00D571BD" w:rsidRPr="003D70E2">
                      <w:rPr>
                        <w:rFonts w:asciiTheme="majorHAnsi" w:hAnsiTheme="majorHAnsi" w:cstheme="majorHAnsi"/>
                        <w:color w:val="000000" w:themeColor="text1"/>
                        <w:sz w:val="12"/>
                        <w:szCs w:val="12"/>
                      </w:rPr>
                      <w:t xml:space="preserve">, </w:t>
                    </w:r>
                    <w:r w:rsidR="000934AF">
                      <w:rPr>
                        <w:rFonts w:asciiTheme="majorHAnsi" w:hAnsiTheme="majorHAnsi" w:cstheme="majorHAnsi"/>
                        <w:color w:val="000000" w:themeColor="text1"/>
                        <w:sz w:val="12"/>
                        <w:szCs w:val="12"/>
                      </w:rPr>
                      <w:t xml:space="preserve">and </w:t>
                    </w:r>
                    <w:proofErr w:type="spellStart"/>
                    <w:r w:rsidR="000934AF">
                      <w:rPr>
                        <w:rFonts w:asciiTheme="majorHAnsi" w:hAnsiTheme="majorHAnsi" w:cstheme="majorHAnsi"/>
                        <w:color w:val="000000" w:themeColor="text1"/>
                        <w:sz w:val="12"/>
                        <w:szCs w:val="12"/>
                      </w:rPr>
                      <w:t>Irwansyah</w:t>
                    </w:r>
                    <w:proofErr w:type="spellEnd"/>
                    <w:r w:rsidR="00D571BD" w:rsidRPr="003D70E2">
                      <w:rPr>
                        <w:rFonts w:asciiTheme="majorHAnsi" w:hAnsiTheme="majorHAnsi" w:cstheme="majorHAnsi"/>
                        <w:color w:val="000000" w:themeColor="text1"/>
                        <w:sz w:val="12"/>
                        <w:szCs w:val="12"/>
                      </w:rPr>
                      <w:t xml:space="preserve">. </w:t>
                    </w:r>
                    <w:r w:rsidR="000934AF">
                      <w:rPr>
                        <w:rFonts w:asciiTheme="majorHAnsi" w:hAnsiTheme="majorHAnsi" w:cstheme="majorHAnsi"/>
                        <w:color w:val="000000" w:themeColor="text1"/>
                        <w:sz w:val="12"/>
                        <w:szCs w:val="12"/>
                      </w:rPr>
                      <w:t>“</w:t>
                    </w:r>
                    <w:r>
                      <w:rPr>
                        <w:rFonts w:asciiTheme="majorHAnsi" w:hAnsiTheme="majorHAnsi" w:cstheme="majorHAnsi"/>
                        <w:color w:val="000000" w:themeColor="text1"/>
                        <w:sz w:val="12"/>
                        <w:szCs w:val="12"/>
                      </w:rPr>
                      <w:t xml:space="preserve">Title: </w:t>
                    </w:r>
                    <w:r w:rsidR="00D571BD" w:rsidRPr="003D70E2">
                      <w:rPr>
                        <w:rFonts w:asciiTheme="majorHAnsi" w:hAnsiTheme="majorHAnsi" w:cstheme="majorHAnsi"/>
                        <w:color w:val="000000" w:themeColor="text1"/>
                        <w:sz w:val="12"/>
                        <w:szCs w:val="12"/>
                      </w:rPr>
                      <w:t xml:space="preserve">Abuse of Dominant Market Position by Predatory Pricing: The </w:t>
                    </w:r>
                    <w:proofErr w:type="spellStart"/>
                    <w:r w:rsidR="00D571BD" w:rsidRPr="003D70E2">
                      <w:rPr>
                        <w:rFonts w:asciiTheme="majorHAnsi" w:hAnsiTheme="majorHAnsi" w:cstheme="majorHAnsi"/>
                        <w:color w:val="000000" w:themeColor="text1"/>
                        <w:sz w:val="12"/>
                        <w:szCs w:val="12"/>
                      </w:rPr>
                      <w:t>Valio</w:t>
                    </w:r>
                    <w:proofErr w:type="spellEnd"/>
                    <w:r w:rsidR="00D571BD" w:rsidRPr="003D70E2">
                      <w:rPr>
                        <w:rFonts w:asciiTheme="majorHAnsi" w:hAnsiTheme="majorHAnsi" w:cstheme="majorHAnsi"/>
                        <w:color w:val="000000" w:themeColor="text1"/>
                        <w:sz w:val="12"/>
                        <w:szCs w:val="12"/>
                      </w:rPr>
                      <w:t xml:space="preserve"> Case</w:t>
                    </w:r>
                    <w:r w:rsidR="000934AF">
                      <w:rPr>
                        <w:rFonts w:asciiTheme="majorHAnsi" w:hAnsiTheme="majorHAnsi" w:cstheme="majorHAnsi"/>
                        <w:color w:val="000000" w:themeColor="text1"/>
                        <w:sz w:val="12"/>
                        <w:szCs w:val="12"/>
                      </w:rPr>
                      <w:t>.”</w:t>
                    </w:r>
                    <w:r w:rsidR="00D571BD" w:rsidRPr="003D70E2">
                      <w:rPr>
                        <w:rFonts w:asciiTheme="majorHAnsi" w:hAnsiTheme="majorHAnsi" w:cstheme="majorHAnsi"/>
                        <w:color w:val="000000" w:themeColor="text1"/>
                        <w:sz w:val="12"/>
                        <w:szCs w:val="12"/>
                      </w:rPr>
                      <w:t xml:space="preserve"> </w:t>
                    </w:r>
                    <w:proofErr w:type="spellStart"/>
                    <w:r w:rsidR="00D571BD" w:rsidRPr="003D70E2">
                      <w:rPr>
                        <w:rFonts w:asciiTheme="majorHAnsi" w:hAnsiTheme="majorHAnsi" w:cstheme="majorHAnsi"/>
                        <w:i/>
                        <w:color w:val="000000" w:themeColor="text1"/>
                        <w:sz w:val="12"/>
                        <w:szCs w:val="12"/>
                      </w:rPr>
                      <w:t>Hasanuddin</w:t>
                    </w:r>
                    <w:proofErr w:type="spellEnd"/>
                    <w:r w:rsidR="00D571BD" w:rsidRPr="003D70E2">
                      <w:rPr>
                        <w:rFonts w:asciiTheme="majorHAnsi" w:hAnsiTheme="majorHAnsi" w:cstheme="majorHAnsi"/>
                        <w:i/>
                        <w:color w:val="000000" w:themeColor="text1"/>
                        <w:sz w:val="12"/>
                        <w:szCs w:val="12"/>
                      </w:rPr>
                      <w:t xml:space="preserve"> Law Review</w:t>
                    </w:r>
                    <w:r w:rsidR="00D571BD" w:rsidRPr="003D70E2">
                      <w:rPr>
                        <w:rFonts w:asciiTheme="majorHAnsi" w:hAnsiTheme="majorHAnsi" w:cstheme="majorHAnsi"/>
                        <w:color w:val="000000" w:themeColor="text1"/>
                        <w:sz w:val="12"/>
                        <w:szCs w:val="12"/>
                      </w:rPr>
                      <w:t xml:space="preserve"> </w:t>
                    </w:r>
                    <w:r w:rsidR="00A018D9">
                      <w:rPr>
                        <w:rFonts w:asciiTheme="majorHAnsi" w:hAnsiTheme="majorHAnsi" w:cstheme="majorHAnsi"/>
                        <w:color w:val="000000" w:themeColor="text1"/>
                        <w:sz w:val="12"/>
                        <w:szCs w:val="12"/>
                      </w:rPr>
                      <w:t>7</w:t>
                    </w:r>
                    <w:r w:rsidR="000934AF">
                      <w:rPr>
                        <w:rFonts w:asciiTheme="majorHAnsi" w:hAnsiTheme="majorHAnsi" w:cstheme="majorHAnsi"/>
                        <w:color w:val="000000" w:themeColor="text1"/>
                        <w:sz w:val="12"/>
                        <w:szCs w:val="12"/>
                      </w:rPr>
                      <w:t xml:space="preserve"> no. </w:t>
                    </w:r>
                    <w:r w:rsidR="00D571BD" w:rsidRPr="003D70E2">
                      <w:rPr>
                        <w:rFonts w:asciiTheme="majorHAnsi" w:hAnsiTheme="majorHAnsi" w:cstheme="majorHAnsi"/>
                        <w:color w:val="000000" w:themeColor="text1"/>
                        <w:sz w:val="12"/>
                        <w:szCs w:val="12"/>
                      </w:rPr>
                      <w:t>2</w:t>
                    </w:r>
                    <w:r w:rsidR="000934AF">
                      <w:rPr>
                        <w:rFonts w:asciiTheme="majorHAnsi" w:hAnsiTheme="majorHAnsi" w:cstheme="majorHAnsi"/>
                        <w:color w:val="000000" w:themeColor="text1"/>
                        <w:sz w:val="12"/>
                        <w:szCs w:val="12"/>
                      </w:rPr>
                      <w:t xml:space="preserve"> </w:t>
                    </w:r>
                    <w:r w:rsidR="000934AF" w:rsidRPr="003D70E2">
                      <w:rPr>
                        <w:rFonts w:asciiTheme="majorHAnsi" w:hAnsiTheme="majorHAnsi" w:cstheme="majorHAnsi"/>
                        <w:color w:val="000000" w:themeColor="text1"/>
                        <w:sz w:val="12"/>
                        <w:szCs w:val="12"/>
                      </w:rPr>
                      <w:t>(20</w:t>
                    </w:r>
                    <w:r w:rsidR="000934AF">
                      <w:rPr>
                        <w:rFonts w:asciiTheme="majorHAnsi" w:hAnsiTheme="majorHAnsi" w:cstheme="majorHAnsi"/>
                        <w:color w:val="000000" w:themeColor="text1"/>
                        <w:sz w:val="12"/>
                        <w:szCs w:val="12"/>
                      </w:rPr>
                      <w:t>2</w:t>
                    </w:r>
                    <w:r w:rsidR="000934AF" w:rsidRPr="003D70E2">
                      <w:rPr>
                        <w:rFonts w:asciiTheme="majorHAnsi" w:hAnsiTheme="majorHAnsi" w:cstheme="majorHAnsi"/>
                        <w:color w:val="000000" w:themeColor="text1"/>
                        <w:sz w:val="12"/>
                        <w:szCs w:val="12"/>
                      </w:rPr>
                      <w:t>1)</w:t>
                    </w:r>
                    <w:r w:rsidR="00D571BD" w:rsidRPr="003D70E2">
                      <w:rPr>
                        <w:rFonts w:asciiTheme="majorHAnsi" w:hAnsiTheme="majorHAnsi" w:cstheme="majorHAnsi"/>
                        <w:color w:val="000000" w:themeColor="text1"/>
                        <w:sz w:val="12"/>
                        <w:szCs w:val="12"/>
                      </w:rPr>
                      <w:t xml:space="preserve">: </w:t>
                    </w:r>
                    <w:r>
                      <w:rPr>
                        <w:rFonts w:asciiTheme="majorHAnsi" w:hAnsiTheme="majorHAnsi" w:cstheme="majorHAnsi"/>
                        <w:color w:val="000000" w:themeColor="text1"/>
                        <w:sz w:val="12"/>
                        <w:szCs w:val="12"/>
                      </w:rPr>
                      <w:t>XXX</w:t>
                    </w:r>
                    <w:r w:rsidR="00D571BD" w:rsidRPr="003D70E2">
                      <w:rPr>
                        <w:rFonts w:asciiTheme="majorHAnsi" w:hAnsiTheme="majorHAnsi" w:cstheme="majorHAnsi"/>
                        <w:color w:val="000000" w:themeColor="text1"/>
                        <w:sz w:val="12"/>
                        <w:szCs w:val="12"/>
                      </w:rPr>
                      <w:t>-</w:t>
                    </w:r>
                    <w:r>
                      <w:rPr>
                        <w:rFonts w:asciiTheme="majorHAnsi" w:hAnsiTheme="majorHAnsi" w:cstheme="majorHAnsi"/>
                        <w:color w:val="000000" w:themeColor="text1"/>
                        <w:sz w:val="12"/>
                        <w:szCs w:val="12"/>
                      </w:rPr>
                      <w:t>XXX</w:t>
                    </w:r>
                    <w:r w:rsidR="00D571BD" w:rsidRPr="003D70E2">
                      <w:rPr>
                        <w:rFonts w:asciiTheme="majorHAnsi" w:hAnsiTheme="majorHAnsi" w:cstheme="majorHAnsi"/>
                        <w:color w:val="000000" w:themeColor="text1"/>
                        <w:sz w:val="12"/>
                        <w:szCs w:val="12"/>
                      </w:rPr>
                      <w:t>. DOI:</w:t>
                    </w:r>
                    <w:r w:rsidR="00A355A1" w:rsidRPr="003D70E2">
                      <w:rPr>
                        <w:rFonts w:asciiTheme="majorHAnsi" w:hAnsiTheme="majorHAnsi" w:cstheme="majorHAnsi"/>
                        <w:color w:val="000000" w:themeColor="text1"/>
                        <w:sz w:val="12"/>
                        <w:szCs w:val="12"/>
                      </w:rPr>
                      <w:t xml:space="preserve"> </w:t>
                    </w:r>
                    <w:hyperlink r:id="rId2" w:history="1">
                      <w:r w:rsidR="00A355A1" w:rsidRPr="003D70E2">
                        <w:rPr>
                          <w:rStyle w:val="Hyperlink"/>
                          <w:rFonts w:asciiTheme="majorHAnsi" w:hAnsiTheme="majorHAnsi" w:cstheme="majorHAnsi"/>
                          <w:color w:val="C00000"/>
                          <w:sz w:val="12"/>
                          <w:szCs w:val="12"/>
                          <w:u w:val="none"/>
                        </w:rPr>
                        <w:t>10.20956/halrev.v</w:t>
                      </w:r>
                      <w:r w:rsidR="00A018D9">
                        <w:rPr>
                          <w:rStyle w:val="Hyperlink"/>
                          <w:rFonts w:asciiTheme="majorHAnsi" w:hAnsiTheme="majorHAnsi" w:cstheme="majorHAnsi"/>
                          <w:color w:val="C00000"/>
                          <w:sz w:val="12"/>
                          <w:szCs w:val="12"/>
                          <w:u w:val="none"/>
                        </w:rPr>
                        <w:t>7</w:t>
                      </w:r>
                      <w:r w:rsidR="00A355A1" w:rsidRPr="003D70E2">
                        <w:rPr>
                          <w:rStyle w:val="Hyperlink"/>
                          <w:rFonts w:asciiTheme="majorHAnsi" w:hAnsiTheme="majorHAnsi" w:cstheme="majorHAnsi"/>
                          <w:color w:val="C00000"/>
                          <w:sz w:val="12"/>
                          <w:szCs w:val="12"/>
                          <w:u w:val="none"/>
                        </w:rPr>
                        <w:t>i</w:t>
                      </w:r>
                      <w:r w:rsidR="00A018D9">
                        <w:rPr>
                          <w:rStyle w:val="Hyperlink"/>
                          <w:rFonts w:asciiTheme="majorHAnsi" w:hAnsiTheme="majorHAnsi" w:cstheme="majorHAnsi"/>
                          <w:color w:val="C00000"/>
                          <w:sz w:val="12"/>
                          <w:szCs w:val="12"/>
                          <w:u w:val="none"/>
                        </w:rPr>
                        <w:t>2</w:t>
                      </w:r>
                      <w:r w:rsidR="00A355A1" w:rsidRPr="003D70E2">
                        <w:rPr>
                          <w:rStyle w:val="Hyperlink"/>
                          <w:rFonts w:asciiTheme="majorHAnsi" w:hAnsiTheme="majorHAnsi" w:cstheme="majorHAnsi"/>
                          <w:color w:val="C00000"/>
                          <w:sz w:val="12"/>
                          <w:szCs w:val="12"/>
                          <w:u w:val="none"/>
                        </w:rPr>
                        <w:t>.</w:t>
                      </w:r>
                      <w:r>
                        <w:rPr>
                          <w:rStyle w:val="Hyperlink"/>
                          <w:rFonts w:asciiTheme="majorHAnsi" w:hAnsiTheme="majorHAnsi" w:cstheme="majorHAnsi"/>
                          <w:color w:val="C00000"/>
                          <w:sz w:val="12"/>
                          <w:szCs w:val="12"/>
                          <w:u w:val="none"/>
                        </w:rPr>
                        <w:t>xxxx</w:t>
                      </w:r>
                      <w:r w:rsidR="00D571BD" w:rsidRPr="003D70E2">
                        <w:rPr>
                          <w:rStyle w:val="Hyperlink"/>
                          <w:rFonts w:asciiTheme="majorHAnsi" w:hAnsiTheme="majorHAnsi" w:cstheme="majorHAnsi"/>
                          <w:color w:val="C00000"/>
                          <w:sz w:val="12"/>
                          <w:szCs w:val="12"/>
                        </w:rPr>
                        <w:t xml:space="preserve"> </w:t>
                      </w:r>
                    </w:hyperlink>
                    <w:r w:rsidR="00D571BD" w:rsidRPr="003D70E2">
                      <w:rPr>
                        <w:rFonts w:asciiTheme="majorHAnsi" w:hAnsiTheme="majorHAnsi" w:cstheme="majorHAnsi"/>
                        <w:color w:val="C00000"/>
                        <w:sz w:val="12"/>
                        <w:szCs w:val="12"/>
                      </w:rPr>
                      <w:t xml:space="preserve"> </w:t>
                    </w:r>
                  </w:p>
                  <w:p w:rsidR="00D571BD" w:rsidRPr="003D70E2" w:rsidRDefault="00D571BD" w:rsidP="00D571BD">
                    <w:pPr>
                      <w:jc w:val="center"/>
                      <w:rPr>
                        <w:sz w:val="12"/>
                        <w:szCs w:val="12"/>
                      </w:rPr>
                    </w:pPr>
                  </w:p>
                </w:txbxContent>
              </v:textbox>
            </v:rect>
          </w:pict>
        </mc:Fallback>
      </mc:AlternateContent>
    </w:r>
    <w:r w:rsidR="00685074" w:rsidRPr="000D479C">
      <w:rPr>
        <w:rFonts w:ascii="Century Gothic" w:hAnsi="Century Gothic" w:cs="Devanagari MT"/>
        <w:b/>
        <w:noProof/>
        <w:sz w:val="36"/>
        <w:szCs w:val="60"/>
      </w:rPr>
      <mc:AlternateContent>
        <mc:Choice Requires="wps">
          <w:drawing>
            <wp:anchor distT="0" distB="0" distL="114300" distR="114300" simplePos="0" relativeHeight="251665408" behindDoc="1" locked="0" layoutInCell="1" allowOverlap="1" wp14:anchorId="6B02DB5B" wp14:editId="67A6315C">
              <wp:simplePos x="0" y="0"/>
              <wp:positionH relativeFrom="column">
                <wp:posOffset>-1400810</wp:posOffset>
              </wp:positionH>
              <wp:positionV relativeFrom="paragraph">
                <wp:posOffset>140379</wp:posOffset>
              </wp:positionV>
              <wp:extent cx="7966454" cy="175098"/>
              <wp:effectExtent l="0" t="0" r="0" b="317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66454" cy="175098"/>
                      </a:xfrm>
                      <a:prstGeom prst="rect">
                        <a:avLst/>
                      </a:prstGeom>
                      <a:solidFill>
                        <a:schemeClr val="bg1">
                          <a:lumMod val="85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08D1B7" id="Rectangle 5" o:spid="_x0000_s1026" style="position:absolute;margin-left:-110.3pt;margin-top:11.05pt;width:627.3pt;height:13.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" fillcolor="#d8d8d8 [2732]" stroked="f"/>
          </w:pict>
        </mc:Fallback>
      </mc:AlternateContent>
    </w:r>
    <w:r w:rsidR="00EF357F" w:rsidRPr="000D479C">
      <w:rPr>
        <w:rFonts w:ascii="Century Gothic" w:hAnsi="Century Gothic" w:cs="Devanagari MT"/>
        <w:b/>
        <w:sz w:val="36"/>
        <w:szCs w:val="60"/>
      </w:rPr>
      <w:t>Hasanuddin</w:t>
    </w:r>
    <w:r w:rsidR="00EF357F" w:rsidRPr="000D479C">
      <w:rPr>
        <w:rFonts w:ascii="Century Gothic" w:hAnsi="Century Gothic" w:cs="Devanagari MT"/>
        <w:color w:val="B00000"/>
        <w:sz w:val="48"/>
      </w:rPr>
      <w:t>LawReview</w:t>
    </w:r>
    <w:r w:rsidR="00EF357F" w:rsidRPr="000D479C">
      <w:rPr>
        <w:rFonts w:ascii="Century Gothic" w:hAnsi="Century Gothic" w:cs="Devanagari MT"/>
        <w:sz w:val="48"/>
        <w:szCs w:val="60"/>
      </w:rPr>
      <w:t xml:space="preserve"> </w:t>
    </w:r>
  </w:p>
  <w:p w:rsidR="00D571BD" w:rsidRPr="00D571BD" w:rsidRDefault="00D571BD" w:rsidP="00A355A1">
    <w:pPr>
      <w:pStyle w:val="Header"/>
      <w:jc w:val="right"/>
      <w:rPr>
        <w:rFonts w:asciiTheme="majorHAnsi" w:hAnsiTheme="majorHAnsi" w:cstheme="majorHAnsi"/>
        <w:color w:val="000000" w:themeColor="text1"/>
        <w:sz w:val="20"/>
        <w:szCs w:val="20"/>
      </w:rPr>
    </w:pPr>
    <w:r w:rsidRPr="00D571BD">
      <w:rPr>
        <w:rFonts w:asciiTheme="majorHAnsi" w:hAnsiTheme="majorHAnsi" w:cstheme="majorHAnsi"/>
        <w:color w:val="000000" w:themeColor="text1"/>
        <w:sz w:val="20"/>
        <w:szCs w:val="20"/>
      </w:rPr>
      <w:t>Volume … Issue …, XXXX</w:t>
    </w:r>
  </w:p>
  <w:p w:rsidR="00D571BD" w:rsidRPr="00D571BD" w:rsidRDefault="00D571BD" w:rsidP="00A355A1">
    <w:pPr>
      <w:pStyle w:val="Header"/>
      <w:jc w:val="right"/>
      <w:rPr>
        <w:rFonts w:asciiTheme="majorHAnsi" w:hAnsiTheme="majorHAnsi" w:cstheme="majorHAnsi"/>
        <w:color w:val="000000" w:themeColor="text1"/>
        <w:sz w:val="20"/>
        <w:szCs w:val="20"/>
      </w:rPr>
    </w:pPr>
    <w:r w:rsidRPr="00D571BD">
      <w:rPr>
        <w:rFonts w:asciiTheme="majorHAnsi" w:hAnsiTheme="majorHAnsi" w:cstheme="majorHAnsi"/>
        <w:color w:val="000000" w:themeColor="text1"/>
        <w:sz w:val="20"/>
        <w:szCs w:val="20"/>
      </w:rPr>
      <w:t>P-ISSN: 2442-9880, E-ISSN: 2442-9899</w:t>
    </w:r>
  </w:p>
  <w:p w:rsidR="00EF357F" w:rsidRPr="00D571BD" w:rsidRDefault="00EF357F" w:rsidP="00A355A1">
    <w:pPr>
      <w:pStyle w:val="Header"/>
      <w:tabs>
        <w:tab w:val="clear" w:pos="4680"/>
      </w:tabs>
      <w:ind w:right="-1"/>
      <w:jc w:val="right"/>
      <w:rPr>
        <w:rFonts w:asciiTheme="majorHAnsi" w:hAnsiTheme="majorHAnsi" w:cstheme="majorHAnsi"/>
        <w:i/>
        <w:sz w:val="13"/>
      </w:rPr>
    </w:pPr>
    <w:r w:rsidRPr="00D571BD">
      <w:rPr>
        <w:rFonts w:asciiTheme="majorHAnsi" w:hAnsiTheme="majorHAnsi" w:cstheme="majorHAnsi"/>
        <w:i/>
        <w:sz w:val="13"/>
      </w:rPr>
      <w:t>This work is licensed under a</w:t>
    </w:r>
    <w:r w:rsidRPr="00D571BD">
      <w:rPr>
        <w:rFonts w:asciiTheme="majorHAnsi" w:hAnsiTheme="majorHAnsi" w:cstheme="majorHAnsi"/>
        <w:i/>
        <w:color w:val="C00000"/>
        <w:sz w:val="13"/>
      </w:rPr>
      <w:t xml:space="preserve"> </w:t>
    </w:r>
    <w:hyperlink r:id="rId3" w:history="1">
      <w:r w:rsidRPr="00D571BD">
        <w:rPr>
          <w:rStyle w:val="Hyperlink"/>
          <w:rFonts w:asciiTheme="majorHAnsi" w:hAnsiTheme="majorHAnsi" w:cstheme="majorHAnsi"/>
          <w:i/>
          <w:color w:val="C00000"/>
          <w:sz w:val="13"/>
          <w:u w:val="none"/>
        </w:rPr>
        <w:t>Creative Commons Attribution 4.0 International License</w:t>
      </w:r>
    </w:hyperlink>
  </w:p>
  <w:p w:rsidR="00EF357F" w:rsidRPr="000D479C" w:rsidRDefault="00EF357F" w:rsidP="00A355A1">
    <w:pPr>
      <w:pStyle w:val="Header"/>
      <w:jc w:val="right"/>
    </w:pPr>
  </w:p>
  <w:bookmarkEnd w:id="4"/>
  <w:bookmarkEnd w:id="5"/>
  <w:bookmarkEnd w:id="6"/>
  <w:p w:rsidR="00363A61" w:rsidRPr="000D479C" w:rsidRDefault="00363A61" w:rsidP="00EF35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5BAC0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9AAF844"/>
    <w:lvl w:ilvl="0">
      <w:start w:val="1"/>
      <w:numFmt w:val="decimal"/>
      <w:lvlText w:val="%1."/>
      <w:lvlJc w:val="left"/>
      <w:pPr>
        <w:tabs>
          <w:tab w:val="num" w:pos="2040"/>
        </w:tabs>
        <w:ind w:leftChars="800" w:left="2040" w:hangingChars="200" w:hanging="360"/>
      </w:pPr>
    </w:lvl>
  </w:abstractNum>
  <w:abstractNum w:abstractNumId="2" w15:restartNumberingAfterBreak="0">
    <w:nsid w:val="FFFFFF7D"/>
    <w:multiLevelType w:val="singleLevel"/>
    <w:tmpl w:val="31ACF0E4"/>
    <w:lvl w:ilvl="0">
      <w:start w:val="1"/>
      <w:numFmt w:val="decimal"/>
      <w:lvlText w:val="%1."/>
      <w:lvlJc w:val="left"/>
      <w:pPr>
        <w:tabs>
          <w:tab w:val="num" w:pos="1620"/>
        </w:tabs>
        <w:ind w:leftChars="600" w:left="1620" w:hangingChars="200" w:hanging="360"/>
      </w:pPr>
    </w:lvl>
  </w:abstractNum>
  <w:abstractNum w:abstractNumId="3" w15:restartNumberingAfterBreak="0">
    <w:nsid w:val="FFFFFF7E"/>
    <w:multiLevelType w:val="singleLevel"/>
    <w:tmpl w:val="12B07222"/>
    <w:lvl w:ilvl="0">
      <w:start w:val="1"/>
      <w:numFmt w:val="decimal"/>
      <w:lvlText w:val="%1."/>
      <w:lvlJc w:val="left"/>
      <w:pPr>
        <w:tabs>
          <w:tab w:val="num" w:pos="1200"/>
        </w:tabs>
        <w:ind w:leftChars="400" w:left="1200" w:hangingChars="200" w:hanging="360"/>
      </w:pPr>
    </w:lvl>
  </w:abstractNum>
  <w:abstractNum w:abstractNumId="4" w15:restartNumberingAfterBreak="0">
    <w:nsid w:val="FFFFFF7F"/>
    <w:multiLevelType w:val="singleLevel"/>
    <w:tmpl w:val="7A6C0272"/>
    <w:lvl w:ilvl="0">
      <w:start w:val="1"/>
      <w:numFmt w:val="decimal"/>
      <w:lvlText w:val="%1."/>
      <w:lvlJc w:val="left"/>
      <w:pPr>
        <w:tabs>
          <w:tab w:val="num" w:pos="780"/>
        </w:tabs>
        <w:ind w:leftChars="200" w:left="780" w:hangingChars="200" w:hanging="360"/>
      </w:pPr>
    </w:lvl>
  </w:abstractNum>
  <w:abstractNum w:abstractNumId="5" w15:restartNumberingAfterBreak="0">
    <w:nsid w:val="FFFFFF80"/>
    <w:multiLevelType w:val="singleLevel"/>
    <w:tmpl w:val="7E02A680"/>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6" w15:restartNumberingAfterBreak="0">
    <w:nsid w:val="FFFFFF81"/>
    <w:multiLevelType w:val="singleLevel"/>
    <w:tmpl w:val="89D087E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4228CE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000CD8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52A59A8"/>
    <w:lvl w:ilvl="0">
      <w:start w:val="1"/>
      <w:numFmt w:val="decimal"/>
      <w:lvlText w:val="%1."/>
      <w:lvlJc w:val="left"/>
      <w:pPr>
        <w:tabs>
          <w:tab w:val="num" w:pos="360"/>
        </w:tabs>
        <w:ind w:left="360" w:hangingChars="200" w:hanging="360"/>
      </w:pPr>
    </w:lvl>
  </w:abstractNum>
  <w:abstractNum w:abstractNumId="10" w15:restartNumberingAfterBreak="0">
    <w:nsid w:val="FFFFFF89"/>
    <w:multiLevelType w:val="singleLevel"/>
    <w:tmpl w:val="1BE4696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2920D2"/>
    <w:multiLevelType w:val="hybridMultilevel"/>
    <w:tmpl w:val="2CDEC096"/>
    <w:lvl w:ilvl="0" w:tplc="E93E8A18">
      <w:start w:val="1"/>
      <w:numFmt w:val="decimal"/>
      <w:lvlText w:val="%1."/>
      <w:lvlJc w:val="left"/>
      <w:pPr>
        <w:ind w:left="720" w:hanging="36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2938B6"/>
    <w:multiLevelType w:val="hybridMultilevel"/>
    <w:tmpl w:val="CD92F8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7893EDE"/>
    <w:multiLevelType w:val="multilevel"/>
    <w:tmpl w:val="283A8E52"/>
    <w:lvl w:ilvl="0">
      <w:start w:val="1"/>
      <w:numFmt w:val="decimal"/>
      <w:lvlText w:val="%1."/>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1">
      <w:start w:val="1"/>
      <w:numFmt w:val="decimal"/>
      <w:lvlText w:val="%1.%2."/>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2">
      <w:start w:val="1"/>
      <w:numFmt w:val="decimal"/>
      <w:lvlText w:val="%1.%2.%3."/>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3">
      <w:start w:val="1"/>
      <w:numFmt w:val="decimal"/>
      <w:lvlText w:val="%1.%2.%3.%4."/>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4">
      <w:start w:val="1"/>
      <w:numFmt w:val="decimal"/>
      <w:lvlText w:val="%1.%2.%3.%4.%5."/>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5">
      <w:start w:val="1"/>
      <w:numFmt w:val="decimal"/>
      <w:lvlText w:val="%1.%2.%3.%4.%5.%6."/>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6">
      <w:start w:val="1"/>
      <w:numFmt w:val="decimal"/>
      <w:lvlText w:val="%1.%2.%3.%4.%5.%6.%7."/>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7">
      <w:start w:val="1"/>
      <w:numFmt w:val="decimal"/>
      <w:lvlText w:val="%1.%2.%3.%4.%5.%6.%7.%8."/>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8">
      <w:start w:val="1"/>
      <w:numFmt w:val="decimal"/>
      <w:lvlText w:val="%1.%2.%3.%4.%5.%6.%7.%8.%9."/>
      <w:lvlJc w:val="left"/>
      <w:pPr>
        <w:tabs>
          <w:tab w:val="num" w:pos="2100"/>
        </w:tabs>
        <w:ind w:left="2100" w:hanging="210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abstractNum>
  <w:abstractNum w:abstractNumId="14" w15:restartNumberingAfterBreak="0">
    <w:nsid w:val="1E4F6CFD"/>
    <w:multiLevelType w:val="hybridMultilevel"/>
    <w:tmpl w:val="E6AAB95E"/>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hint="default"/>
      </w:rPr>
    </w:lvl>
    <w:lvl w:ilvl="2" w:tplc="04090005">
      <w:start w:val="1"/>
      <w:numFmt w:val="bullet"/>
      <w:lvlText w:val=""/>
      <w:lvlJc w:val="left"/>
      <w:pPr>
        <w:ind w:left="2448" w:hanging="360"/>
      </w:pPr>
      <w:rPr>
        <w:rFonts w:ascii="Wingdings" w:hAnsi="Wingdings" w:hint="default"/>
      </w:rPr>
    </w:lvl>
    <w:lvl w:ilvl="3" w:tplc="04090001">
      <w:start w:val="1"/>
      <w:numFmt w:val="bullet"/>
      <w:lvlText w:val=""/>
      <w:lvlJc w:val="left"/>
      <w:pPr>
        <w:ind w:left="3168" w:hanging="360"/>
      </w:pPr>
      <w:rPr>
        <w:rFonts w:ascii="Symbol" w:hAnsi="Symbol" w:hint="default"/>
      </w:rPr>
    </w:lvl>
    <w:lvl w:ilvl="4" w:tplc="04090003">
      <w:start w:val="1"/>
      <w:numFmt w:val="bullet"/>
      <w:lvlText w:val="o"/>
      <w:lvlJc w:val="left"/>
      <w:pPr>
        <w:ind w:left="3888" w:hanging="360"/>
      </w:pPr>
      <w:rPr>
        <w:rFonts w:ascii="Courier New" w:hAnsi="Courier New" w:hint="default"/>
      </w:rPr>
    </w:lvl>
    <w:lvl w:ilvl="5" w:tplc="04090005">
      <w:start w:val="1"/>
      <w:numFmt w:val="bullet"/>
      <w:lvlText w:val=""/>
      <w:lvlJc w:val="left"/>
      <w:pPr>
        <w:ind w:left="4608" w:hanging="360"/>
      </w:pPr>
      <w:rPr>
        <w:rFonts w:ascii="Wingdings" w:hAnsi="Wingdings" w:hint="default"/>
      </w:rPr>
    </w:lvl>
    <w:lvl w:ilvl="6" w:tplc="04090001">
      <w:start w:val="1"/>
      <w:numFmt w:val="bullet"/>
      <w:lvlText w:val=""/>
      <w:lvlJc w:val="left"/>
      <w:pPr>
        <w:ind w:left="5328" w:hanging="360"/>
      </w:pPr>
      <w:rPr>
        <w:rFonts w:ascii="Symbol" w:hAnsi="Symbol" w:hint="default"/>
      </w:rPr>
    </w:lvl>
    <w:lvl w:ilvl="7" w:tplc="04090003">
      <w:start w:val="1"/>
      <w:numFmt w:val="bullet"/>
      <w:lvlText w:val="o"/>
      <w:lvlJc w:val="left"/>
      <w:pPr>
        <w:ind w:left="6048" w:hanging="360"/>
      </w:pPr>
      <w:rPr>
        <w:rFonts w:ascii="Courier New" w:hAnsi="Courier New" w:hint="default"/>
      </w:rPr>
    </w:lvl>
    <w:lvl w:ilvl="8" w:tplc="04090005">
      <w:start w:val="1"/>
      <w:numFmt w:val="bullet"/>
      <w:lvlText w:val=""/>
      <w:lvlJc w:val="left"/>
      <w:pPr>
        <w:ind w:left="6768" w:hanging="360"/>
      </w:pPr>
      <w:rPr>
        <w:rFonts w:ascii="Wingdings" w:hAnsi="Wingdings" w:hint="default"/>
      </w:rPr>
    </w:lvl>
  </w:abstractNum>
  <w:abstractNum w:abstractNumId="15" w15:restartNumberingAfterBreak="0">
    <w:nsid w:val="29443D64"/>
    <w:multiLevelType w:val="hybridMultilevel"/>
    <w:tmpl w:val="CE6A634C"/>
    <w:lvl w:ilvl="0" w:tplc="C58ADCF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2B855861"/>
    <w:multiLevelType w:val="multilevel"/>
    <w:tmpl w:val="6380B6B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7" w15:restartNumberingAfterBreak="0">
    <w:nsid w:val="2CEC04BD"/>
    <w:multiLevelType w:val="multilevel"/>
    <w:tmpl w:val="D1D430E8"/>
    <w:lvl w:ilvl="0">
      <w:start w:val="1"/>
      <w:numFmt w:val="decimal"/>
      <w:lvlText w:val="%1."/>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1">
      <w:start w:val="1"/>
      <w:numFmt w:val="decimal"/>
      <w:lvlText w:val="%1.%2."/>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2">
      <w:start w:val="1"/>
      <w:numFmt w:val="decimal"/>
      <w:lvlText w:val="%1.%2.%3."/>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3">
      <w:start w:val="1"/>
      <w:numFmt w:val="decimal"/>
      <w:lvlText w:val="%1.%2.%3.%4."/>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4">
      <w:start w:val="1"/>
      <w:numFmt w:val="decimal"/>
      <w:lvlText w:val="%1.%2.%3.%4.%5."/>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5">
      <w:start w:val="1"/>
      <w:numFmt w:val="decimal"/>
      <w:lvlText w:val="%1.%2.%3.%4.%5.%6."/>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6">
      <w:start w:val="1"/>
      <w:numFmt w:val="decimal"/>
      <w:lvlText w:val="%1.%2.%3.%4.%5.%6.%7."/>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7">
      <w:start w:val="1"/>
      <w:numFmt w:val="decimal"/>
      <w:lvlText w:val="%1.%2.%3.%4.%5.%6.%7.%8."/>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8">
      <w:start w:val="1"/>
      <w:numFmt w:val="decimal"/>
      <w:lvlText w:val="%1.%2.%3.%4.%5.%6.%7.%8.%9."/>
      <w:lvlJc w:val="left"/>
      <w:pPr>
        <w:tabs>
          <w:tab w:val="num" w:pos="2100"/>
        </w:tabs>
        <w:ind w:left="2100" w:hanging="210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abstractNum>
  <w:abstractNum w:abstractNumId="18" w15:restartNumberingAfterBreak="0">
    <w:nsid w:val="2D9905CC"/>
    <w:multiLevelType w:val="hybridMultilevel"/>
    <w:tmpl w:val="02E42A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EA16846"/>
    <w:multiLevelType w:val="hybridMultilevel"/>
    <w:tmpl w:val="40986560"/>
    <w:lvl w:ilvl="0" w:tplc="D36684F8">
      <w:start w:val="1"/>
      <w:numFmt w:val="decimal"/>
      <w:pStyle w:val="HRPUB-ReferenceListing"/>
      <w:lvlText w:val="[%1]"/>
      <w:lvlJc w:val="left"/>
      <w:pPr>
        <w:ind w:left="420" w:hanging="420"/>
      </w:pPr>
      <w:rPr>
        <w:rFonts w:ascii="Times New Roman" w:hAnsi="Times New Roman" w:hint="default"/>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5E36524"/>
    <w:multiLevelType w:val="hybridMultilevel"/>
    <w:tmpl w:val="A2A04752"/>
    <w:lvl w:ilvl="0" w:tplc="65BE97C6">
      <w:start w:val="1"/>
      <w:numFmt w:val="decimal"/>
      <w:lvlText w:val="[%1]"/>
      <w:lvlJc w:val="left"/>
      <w:pPr>
        <w:ind w:left="9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3979C3"/>
    <w:multiLevelType w:val="hybridMultilevel"/>
    <w:tmpl w:val="C4101A00"/>
    <w:lvl w:ilvl="0" w:tplc="66B6CA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9BF5ED5"/>
    <w:multiLevelType w:val="hybridMultilevel"/>
    <w:tmpl w:val="90548236"/>
    <w:lvl w:ilvl="0" w:tplc="C58ADCF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4BCC28A7"/>
    <w:multiLevelType w:val="multilevel"/>
    <w:tmpl w:val="E752BD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E281686"/>
    <w:multiLevelType w:val="multilevel"/>
    <w:tmpl w:val="89EA454E"/>
    <w:lvl w:ilvl="0">
      <w:start w:val="1"/>
      <w:numFmt w:val="decimal"/>
      <w:lvlText w:val="%1."/>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1">
      <w:start w:val="1"/>
      <w:numFmt w:val="decimal"/>
      <w:lvlText w:val="%1.%2."/>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2">
      <w:start w:val="1"/>
      <w:numFmt w:val="decimal"/>
      <w:lvlText w:val="%1.%2.%3."/>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3">
      <w:start w:val="1"/>
      <w:numFmt w:val="decimal"/>
      <w:lvlText w:val="%1.%2.%3.%4."/>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4">
      <w:start w:val="1"/>
      <w:numFmt w:val="decimal"/>
      <w:lvlText w:val="%1.%2.%3.%4.%5."/>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5">
      <w:start w:val="1"/>
      <w:numFmt w:val="decimal"/>
      <w:lvlText w:val="%1.%2.%3.%4.%5.%6."/>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6">
      <w:start w:val="1"/>
      <w:numFmt w:val="decimal"/>
      <w:lvlText w:val="%1.%2.%3.%4.%5.%6.%7."/>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7">
      <w:start w:val="1"/>
      <w:numFmt w:val="decimal"/>
      <w:lvlText w:val="%1.%2.%3.%4.%5.%6.%7.%8."/>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8">
      <w:start w:val="1"/>
      <w:numFmt w:val="decimal"/>
      <w:lvlText w:val="%1.%2.%3.%4.%5.%6.%7.%8.%9."/>
      <w:lvlJc w:val="left"/>
      <w:pPr>
        <w:tabs>
          <w:tab w:val="num" w:pos="2100"/>
        </w:tabs>
        <w:ind w:left="2100" w:hanging="210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abstractNum>
  <w:abstractNum w:abstractNumId="25" w15:restartNumberingAfterBreak="0">
    <w:nsid w:val="52CA544A"/>
    <w:multiLevelType w:val="singleLevel"/>
    <w:tmpl w:val="0D3C1AB2"/>
    <w:lvl w:ilvl="0">
      <w:start w:val="1"/>
      <w:numFmt w:val="decimal"/>
      <w:lvlText w:val="[%1]"/>
      <w:lvlJc w:val="left"/>
      <w:pPr>
        <w:tabs>
          <w:tab w:val="num" w:pos="360"/>
        </w:tabs>
        <w:ind w:left="360" w:hanging="360"/>
      </w:pPr>
      <w:rPr>
        <w:rFonts w:ascii="Times New Roman" w:eastAsia="MS Mincho" w:hAnsi="Times New Roman" w:hint="default"/>
        <w:b w:val="0"/>
        <w:i w:val="0"/>
        <w:snapToGrid/>
        <w:color w:val="auto"/>
        <w:spacing w:val="0"/>
        <w:w w:val="100"/>
        <w:kern w:val="0"/>
        <w:position w:val="0"/>
        <w:sz w:val="18"/>
        <w:szCs w:val="18"/>
        <w:u w:val="none"/>
        <w:effect w:val="none"/>
        <w:em w:val="none"/>
      </w:rPr>
    </w:lvl>
  </w:abstractNum>
  <w:abstractNum w:abstractNumId="26" w15:restartNumberingAfterBreak="0">
    <w:nsid w:val="5B2A229C"/>
    <w:multiLevelType w:val="multilevel"/>
    <w:tmpl w:val="DF2AE0EC"/>
    <w:styleLink w:val="List0"/>
    <w:lvl w:ilvl="0">
      <w:start w:val="1"/>
      <w:numFmt w:val="decimal"/>
      <w:lvlText w:val="%1."/>
      <w:lvlJc w:val="left"/>
      <w:rPr>
        <w:position w:val="0"/>
        <w:rtl w:val="0"/>
        <w:lang w:val="en-US"/>
      </w:rPr>
    </w:lvl>
    <w:lvl w:ilvl="1">
      <w:start w:val="1"/>
      <w:numFmt w:val="decimal"/>
      <w:lvlText w:val="%1.%2."/>
      <w:lvlJc w:val="left"/>
      <w:rPr>
        <w:position w:val="0"/>
        <w:rtl w:val="0"/>
        <w:lang w:val="en-US"/>
      </w:rPr>
    </w:lvl>
    <w:lvl w:ilvl="2">
      <w:start w:val="1"/>
      <w:numFmt w:val="decimal"/>
      <w:lvlText w:val="%1.%2.%3."/>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27" w15:restartNumberingAfterBreak="0">
    <w:nsid w:val="5DA66C83"/>
    <w:multiLevelType w:val="hybridMultilevel"/>
    <w:tmpl w:val="BB9CF6EE"/>
    <w:lvl w:ilvl="0" w:tplc="DAC0A5D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FB14558"/>
    <w:multiLevelType w:val="hybridMultilevel"/>
    <w:tmpl w:val="1A2C8956"/>
    <w:lvl w:ilvl="0" w:tplc="AEB835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C402C58"/>
    <w:multiLevelType w:val="hybridMultilevel"/>
    <w:tmpl w:val="F1F87D58"/>
    <w:lvl w:ilvl="0" w:tplc="FC5CE4B0">
      <w:start w:val="1"/>
      <w:numFmt w:val="decimal"/>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16cid:durableId="1531725061">
    <w:abstractNumId w:val="23"/>
  </w:num>
  <w:num w:numId="2" w16cid:durableId="400561914">
    <w:abstractNumId w:val="24"/>
  </w:num>
  <w:num w:numId="3" w16cid:durableId="109714244">
    <w:abstractNumId w:val="13"/>
  </w:num>
  <w:num w:numId="4" w16cid:durableId="1963611189">
    <w:abstractNumId w:val="17"/>
  </w:num>
  <w:num w:numId="5" w16cid:durableId="1332297033">
    <w:abstractNumId w:val="26"/>
  </w:num>
  <w:num w:numId="6" w16cid:durableId="1782334510">
    <w:abstractNumId w:val="0"/>
  </w:num>
  <w:num w:numId="7" w16cid:durableId="1819148790">
    <w:abstractNumId w:val="10"/>
  </w:num>
  <w:num w:numId="8" w16cid:durableId="734742088">
    <w:abstractNumId w:val="8"/>
  </w:num>
  <w:num w:numId="9" w16cid:durableId="1410469308">
    <w:abstractNumId w:val="7"/>
  </w:num>
  <w:num w:numId="10" w16cid:durableId="823667403">
    <w:abstractNumId w:val="6"/>
  </w:num>
  <w:num w:numId="11" w16cid:durableId="1127048436">
    <w:abstractNumId w:val="12"/>
  </w:num>
  <w:num w:numId="12" w16cid:durableId="1682931665">
    <w:abstractNumId w:val="18"/>
  </w:num>
  <w:num w:numId="13" w16cid:durableId="654648835">
    <w:abstractNumId w:val="28"/>
  </w:num>
  <w:num w:numId="14" w16cid:durableId="515971204">
    <w:abstractNumId w:val="27"/>
  </w:num>
  <w:num w:numId="15" w16cid:durableId="1487816445">
    <w:abstractNumId w:val="15"/>
  </w:num>
  <w:num w:numId="16" w16cid:durableId="621619495">
    <w:abstractNumId w:val="22"/>
  </w:num>
  <w:num w:numId="17" w16cid:durableId="1763605761">
    <w:abstractNumId w:val="11"/>
  </w:num>
  <w:num w:numId="18" w16cid:durableId="159392695">
    <w:abstractNumId w:val="19"/>
  </w:num>
  <w:num w:numId="19" w16cid:durableId="1842086239">
    <w:abstractNumId w:val="16"/>
  </w:num>
  <w:num w:numId="20" w16cid:durableId="1223254007">
    <w:abstractNumId w:val="14"/>
  </w:num>
  <w:num w:numId="21" w16cid:durableId="1462260523">
    <w:abstractNumId w:val="29"/>
  </w:num>
  <w:num w:numId="22" w16cid:durableId="1904027662">
    <w:abstractNumId w:val="20"/>
  </w:num>
  <w:num w:numId="23" w16cid:durableId="1508206946">
    <w:abstractNumId w:val="25"/>
  </w:num>
  <w:num w:numId="24" w16cid:durableId="320668523">
    <w:abstractNumId w:val="9"/>
  </w:num>
  <w:num w:numId="25" w16cid:durableId="1432772769">
    <w:abstractNumId w:val="5"/>
  </w:num>
  <w:num w:numId="26" w16cid:durableId="995064684">
    <w:abstractNumId w:val="4"/>
  </w:num>
  <w:num w:numId="27" w16cid:durableId="1105462387">
    <w:abstractNumId w:val="3"/>
  </w:num>
  <w:num w:numId="28" w16cid:durableId="1755932916">
    <w:abstractNumId w:val="2"/>
  </w:num>
  <w:num w:numId="29" w16cid:durableId="944852070">
    <w:abstractNumId w:val="1"/>
  </w:num>
  <w:num w:numId="30" w16cid:durableId="98385367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E8E"/>
    <w:rsid w:val="00003122"/>
    <w:rsid w:val="00003C43"/>
    <w:rsid w:val="00005A2E"/>
    <w:rsid w:val="00014A2C"/>
    <w:rsid w:val="00023880"/>
    <w:rsid w:val="00046A90"/>
    <w:rsid w:val="00046AF5"/>
    <w:rsid w:val="00050546"/>
    <w:rsid w:val="00052E06"/>
    <w:rsid w:val="000554A5"/>
    <w:rsid w:val="00063C82"/>
    <w:rsid w:val="000715EA"/>
    <w:rsid w:val="000775E8"/>
    <w:rsid w:val="000822BD"/>
    <w:rsid w:val="00087494"/>
    <w:rsid w:val="000934AF"/>
    <w:rsid w:val="0009788A"/>
    <w:rsid w:val="000A05AE"/>
    <w:rsid w:val="000A091C"/>
    <w:rsid w:val="000A5878"/>
    <w:rsid w:val="000B14BF"/>
    <w:rsid w:val="000B1CE8"/>
    <w:rsid w:val="000B3752"/>
    <w:rsid w:val="000B5F04"/>
    <w:rsid w:val="000C5F58"/>
    <w:rsid w:val="000C62F7"/>
    <w:rsid w:val="000D0C47"/>
    <w:rsid w:val="000D29BA"/>
    <w:rsid w:val="000D41BE"/>
    <w:rsid w:val="000D479C"/>
    <w:rsid w:val="000D6448"/>
    <w:rsid w:val="000E018D"/>
    <w:rsid w:val="000E6D81"/>
    <w:rsid w:val="000F3B4F"/>
    <w:rsid w:val="000F4488"/>
    <w:rsid w:val="000F7008"/>
    <w:rsid w:val="0010788E"/>
    <w:rsid w:val="001161B0"/>
    <w:rsid w:val="00116CDD"/>
    <w:rsid w:val="00123CDB"/>
    <w:rsid w:val="001242D9"/>
    <w:rsid w:val="00124D8C"/>
    <w:rsid w:val="00136A1D"/>
    <w:rsid w:val="00141AEB"/>
    <w:rsid w:val="00141B61"/>
    <w:rsid w:val="0014772F"/>
    <w:rsid w:val="001520B9"/>
    <w:rsid w:val="001539AC"/>
    <w:rsid w:val="00167CC3"/>
    <w:rsid w:val="001720AE"/>
    <w:rsid w:val="00177044"/>
    <w:rsid w:val="00184949"/>
    <w:rsid w:val="00185CD9"/>
    <w:rsid w:val="001A42EB"/>
    <w:rsid w:val="001A55CA"/>
    <w:rsid w:val="001A6FE1"/>
    <w:rsid w:val="001B027D"/>
    <w:rsid w:val="001B4FFE"/>
    <w:rsid w:val="001B7BE7"/>
    <w:rsid w:val="001C13EC"/>
    <w:rsid w:val="001D204F"/>
    <w:rsid w:val="001F2BA3"/>
    <w:rsid w:val="001F73E9"/>
    <w:rsid w:val="00200DA7"/>
    <w:rsid w:val="00201A60"/>
    <w:rsid w:val="00204D8C"/>
    <w:rsid w:val="0020773C"/>
    <w:rsid w:val="002119FE"/>
    <w:rsid w:val="00213935"/>
    <w:rsid w:val="00215AA9"/>
    <w:rsid w:val="00222ABB"/>
    <w:rsid w:val="0022358B"/>
    <w:rsid w:val="00223602"/>
    <w:rsid w:val="0023165A"/>
    <w:rsid w:val="0023524E"/>
    <w:rsid w:val="00244694"/>
    <w:rsid w:val="00247B6A"/>
    <w:rsid w:val="0025070C"/>
    <w:rsid w:val="00251F9C"/>
    <w:rsid w:val="00256527"/>
    <w:rsid w:val="0025739B"/>
    <w:rsid w:val="00284DA6"/>
    <w:rsid w:val="002903F0"/>
    <w:rsid w:val="00292DF3"/>
    <w:rsid w:val="0029509B"/>
    <w:rsid w:val="00297E00"/>
    <w:rsid w:val="002B0C1A"/>
    <w:rsid w:val="002B6553"/>
    <w:rsid w:val="002C01AB"/>
    <w:rsid w:val="002C02F0"/>
    <w:rsid w:val="002D252C"/>
    <w:rsid w:val="002E4144"/>
    <w:rsid w:val="002F2A28"/>
    <w:rsid w:val="002F4EAC"/>
    <w:rsid w:val="002F7873"/>
    <w:rsid w:val="003028A1"/>
    <w:rsid w:val="00302AAA"/>
    <w:rsid w:val="00303BA8"/>
    <w:rsid w:val="003045E4"/>
    <w:rsid w:val="00307758"/>
    <w:rsid w:val="00311B81"/>
    <w:rsid w:val="0031227B"/>
    <w:rsid w:val="00322CC7"/>
    <w:rsid w:val="00323A6E"/>
    <w:rsid w:val="0032739E"/>
    <w:rsid w:val="003317B7"/>
    <w:rsid w:val="00332D4B"/>
    <w:rsid w:val="00334F9D"/>
    <w:rsid w:val="00337CB5"/>
    <w:rsid w:val="00342C78"/>
    <w:rsid w:val="00351324"/>
    <w:rsid w:val="0035446F"/>
    <w:rsid w:val="0035562C"/>
    <w:rsid w:val="00363A61"/>
    <w:rsid w:val="0036504F"/>
    <w:rsid w:val="00374F43"/>
    <w:rsid w:val="00375FE4"/>
    <w:rsid w:val="00381694"/>
    <w:rsid w:val="00381D74"/>
    <w:rsid w:val="003844F8"/>
    <w:rsid w:val="00385250"/>
    <w:rsid w:val="00385623"/>
    <w:rsid w:val="00385B3D"/>
    <w:rsid w:val="00394924"/>
    <w:rsid w:val="003962B0"/>
    <w:rsid w:val="003A0113"/>
    <w:rsid w:val="003A0FB5"/>
    <w:rsid w:val="003B6B36"/>
    <w:rsid w:val="003B7F17"/>
    <w:rsid w:val="003C34DF"/>
    <w:rsid w:val="003C6CE2"/>
    <w:rsid w:val="003D3F19"/>
    <w:rsid w:val="003D70E2"/>
    <w:rsid w:val="003E1887"/>
    <w:rsid w:val="003E5D47"/>
    <w:rsid w:val="003E62C7"/>
    <w:rsid w:val="003F35CB"/>
    <w:rsid w:val="003F3EE6"/>
    <w:rsid w:val="0040054B"/>
    <w:rsid w:val="004021A6"/>
    <w:rsid w:val="00405FC2"/>
    <w:rsid w:val="00410C32"/>
    <w:rsid w:val="00411302"/>
    <w:rsid w:val="0041449D"/>
    <w:rsid w:val="00414A05"/>
    <w:rsid w:val="00420F09"/>
    <w:rsid w:val="004218C6"/>
    <w:rsid w:val="00424F59"/>
    <w:rsid w:val="0042782F"/>
    <w:rsid w:val="004344BE"/>
    <w:rsid w:val="004369F4"/>
    <w:rsid w:val="00440F28"/>
    <w:rsid w:val="00450DBC"/>
    <w:rsid w:val="0045607A"/>
    <w:rsid w:val="0046034D"/>
    <w:rsid w:val="00465420"/>
    <w:rsid w:val="00465841"/>
    <w:rsid w:val="00473181"/>
    <w:rsid w:val="0047374A"/>
    <w:rsid w:val="0047619A"/>
    <w:rsid w:val="0048351B"/>
    <w:rsid w:val="00484C66"/>
    <w:rsid w:val="00487496"/>
    <w:rsid w:val="004902FB"/>
    <w:rsid w:val="004A66B4"/>
    <w:rsid w:val="004B0527"/>
    <w:rsid w:val="004B0D01"/>
    <w:rsid w:val="004C1DE7"/>
    <w:rsid w:val="004C26B9"/>
    <w:rsid w:val="004D3400"/>
    <w:rsid w:val="004D6FAE"/>
    <w:rsid w:val="00501798"/>
    <w:rsid w:val="0050336D"/>
    <w:rsid w:val="00503FAE"/>
    <w:rsid w:val="005105AC"/>
    <w:rsid w:val="00521EA6"/>
    <w:rsid w:val="005242C5"/>
    <w:rsid w:val="00526541"/>
    <w:rsid w:val="005270E6"/>
    <w:rsid w:val="0053356F"/>
    <w:rsid w:val="005425A6"/>
    <w:rsid w:val="00544531"/>
    <w:rsid w:val="00566C4D"/>
    <w:rsid w:val="00570E3D"/>
    <w:rsid w:val="005767DA"/>
    <w:rsid w:val="0058474D"/>
    <w:rsid w:val="00585EE9"/>
    <w:rsid w:val="005878E8"/>
    <w:rsid w:val="00591AE2"/>
    <w:rsid w:val="00594198"/>
    <w:rsid w:val="00597B07"/>
    <w:rsid w:val="005A08C9"/>
    <w:rsid w:val="005A6549"/>
    <w:rsid w:val="005B7C97"/>
    <w:rsid w:val="005C5C9C"/>
    <w:rsid w:val="005D205A"/>
    <w:rsid w:val="005D316F"/>
    <w:rsid w:val="005D6A36"/>
    <w:rsid w:val="005E53BC"/>
    <w:rsid w:val="005F2A78"/>
    <w:rsid w:val="005F5543"/>
    <w:rsid w:val="005F7846"/>
    <w:rsid w:val="00601209"/>
    <w:rsid w:val="0060246F"/>
    <w:rsid w:val="00606089"/>
    <w:rsid w:val="00613923"/>
    <w:rsid w:val="00613B80"/>
    <w:rsid w:val="00620ABC"/>
    <w:rsid w:val="00622843"/>
    <w:rsid w:val="00622AEE"/>
    <w:rsid w:val="00624D16"/>
    <w:rsid w:val="00630AD4"/>
    <w:rsid w:val="00643BF3"/>
    <w:rsid w:val="00645A53"/>
    <w:rsid w:val="006520AB"/>
    <w:rsid w:val="00654158"/>
    <w:rsid w:val="006629B3"/>
    <w:rsid w:val="00663DC7"/>
    <w:rsid w:val="00667E24"/>
    <w:rsid w:val="00680AA0"/>
    <w:rsid w:val="00685074"/>
    <w:rsid w:val="00693A54"/>
    <w:rsid w:val="006940A8"/>
    <w:rsid w:val="006A5313"/>
    <w:rsid w:val="006A7CFB"/>
    <w:rsid w:val="006B7DF4"/>
    <w:rsid w:val="006C41A2"/>
    <w:rsid w:val="006C4CB2"/>
    <w:rsid w:val="006C56C8"/>
    <w:rsid w:val="006D0D57"/>
    <w:rsid w:val="006D1E35"/>
    <w:rsid w:val="006D2787"/>
    <w:rsid w:val="006E6514"/>
    <w:rsid w:val="006E718A"/>
    <w:rsid w:val="006F24E2"/>
    <w:rsid w:val="00702E17"/>
    <w:rsid w:val="00705CA5"/>
    <w:rsid w:val="00713165"/>
    <w:rsid w:val="0071604D"/>
    <w:rsid w:val="00717018"/>
    <w:rsid w:val="00717391"/>
    <w:rsid w:val="00723814"/>
    <w:rsid w:val="00730927"/>
    <w:rsid w:val="007326F3"/>
    <w:rsid w:val="00740136"/>
    <w:rsid w:val="00752701"/>
    <w:rsid w:val="0075523B"/>
    <w:rsid w:val="00764503"/>
    <w:rsid w:val="00770909"/>
    <w:rsid w:val="007811FE"/>
    <w:rsid w:val="00783571"/>
    <w:rsid w:val="007855DD"/>
    <w:rsid w:val="007872A9"/>
    <w:rsid w:val="00787978"/>
    <w:rsid w:val="00787E5C"/>
    <w:rsid w:val="0079118D"/>
    <w:rsid w:val="007916B7"/>
    <w:rsid w:val="00792095"/>
    <w:rsid w:val="007922F9"/>
    <w:rsid w:val="00793043"/>
    <w:rsid w:val="00796396"/>
    <w:rsid w:val="007A1886"/>
    <w:rsid w:val="007B0722"/>
    <w:rsid w:val="007B2B10"/>
    <w:rsid w:val="007B38C2"/>
    <w:rsid w:val="007B6169"/>
    <w:rsid w:val="007C216D"/>
    <w:rsid w:val="007C24AB"/>
    <w:rsid w:val="007C3937"/>
    <w:rsid w:val="007C6644"/>
    <w:rsid w:val="007C70F8"/>
    <w:rsid w:val="007D17F8"/>
    <w:rsid w:val="007D23AE"/>
    <w:rsid w:val="007E163D"/>
    <w:rsid w:val="007E78AA"/>
    <w:rsid w:val="007F1550"/>
    <w:rsid w:val="007F5BFF"/>
    <w:rsid w:val="008134DE"/>
    <w:rsid w:val="00820DAF"/>
    <w:rsid w:val="008231E2"/>
    <w:rsid w:val="008315D7"/>
    <w:rsid w:val="00832D3F"/>
    <w:rsid w:val="00840805"/>
    <w:rsid w:val="0084140D"/>
    <w:rsid w:val="00846CB2"/>
    <w:rsid w:val="00853D94"/>
    <w:rsid w:val="0085433C"/>
    <w:rsid w:val="0085517E"/>
    <w:rsid w:val="0085741A"/>
    <w:rsid w:val="00862B71"/>
    <w:rsid w:val="00867951"/>
    <w:rsid w:val="00873B54"/>
    <w:rsid w:val="00881666"/>
    <w:rsid w:val="00884C1F"/>
    <w:rsid w:val="00886166"/>
    <w:rsid w:val="008936AE"/>
    <w:rsid w:val="00893C20"/>
    <w:rsid w:val="0089533E"/>
    <w:rsid w:val="008A35A3"/>
    <w:rsid w:val="008B55B8"/>
    <w:rsid w:val="008B6079"/>
    <w:rsid w:val="008C42E8"/>
    <w:rsid w:val="008D2F11"/>
    <w:rsid w:val="008E6270"/>
    <w:rsid w:val="008E7C43"/>
    <w:rsid w:val="008F2DE5"/>
    <w:rsid w:val="008F6AD8"/>
    <w:rsid w:val="00900C57"/>
    <w:rsid w:val="00911ABD"/>
    <w:rsid w:val="00916825"/>
    <w:rsid w:val="00925D4D"/>
    <w:rsid w:val="00927804"/>
    <w:rsid w:val="00932498"/>
    <w:rsid w:val="0093286C"/>
    <w:rsid w:val="00934130"/>
    <w:rsid w:val="00934385"/>
    <w:rsid w:val="00935655"/>
    <w:rsid w:val="00946D79"/>
    <w:rsid w:val="009538EB"/>
    <w:rsid w:val="00954C5B"/>
    <w:rsid w:val="00954CC1"/>
    <w:rsid w:val="00956651"/>
    <w:rsid w:val="00965143"/>
    <w:rsid w:val="00971E13"/>
    <w:rsid w:val="00972AB1"/>
    <w:rsid w:val="00972E25"/>
    <w:rsid w:val="00983212"/>
    <w:rsid w:val="009840F8"/>
    <w:rsid w:val="009900A2"/>
    <w:rsid w:val="00991217"/>
    <w:rsid w:val="00996760"/>
    <w:rsid w:val="009B0E19"/>
    <w:rsid w:val="009B52A1"/>
    <w:rsid w:val="009B586D"/>
    <w:rsid w:val="009C00D6"/>
    <w:rsid w:val="009C756F"/>
    <w:rsid w:val="009D187D"/>
    <w:rsid w:val="009D5489"/>
    <w:rsid w:val="009E1086"/>
    <w:rsid w:val="009E6FFA"/>
    <w:rsid w:val="009F25DA"/>
    <w:rsid w:val="009F4E05"/>
    <w:rsid w:val="00A00C6D"/>
    <w:rsid w:val="00A018D9"/>
    <w:rsid w:val="00A07F33"/>
    <w:rsid w:val="00A12DDC"/>
    <w:rsid w:val="00A15029"/>
    <w:rsid w:val="00A30694"/>
    <w:rsid w:val="00A341DC"/>
    <w:rsid w:val="00A34FD4"/>
    <w:rsid w:val="00A350E6"/>
    <w:rsid w:val="00A355A1"/>
    <w:rsid w:val="00A4291B"/>
    <w:rsid w:val="00A57BBC"/>
    <w:rsid w:val="00A601F0"/>
    <w:rsid w:val="00A81BFA"/>
    <w:rsid w:val="00A84BDE"/>
    <w:rsid w:val="00A85FBA"/>
    <w:rsid w:val="00A93A6E"/>
    <w:rsid w:val="00A94285"/>
    <w:rsid w:val="00AA17B4"/>
    <w:rsid w:val="00AA71C4"/>
    <w:rsid w:val="00AB395C"/>
    <w:rsid w:val="00AB3E19"/>
    <w:rsid w:val="00AB6E89"/>
    <w:rsid w:val="00AC017F"/>
    <w:rsid w:val="00AC6E2E"/>
    <w:rsid w:val="00AE0369"/>
    <w:rsid w:val="00AE0A5E"/>
    <w:rsid w:val="00AE44B2"/>
    <w:rsid w:val="00AF1307"/>
    <w:rsid w:val="00AF2E6D"/>
    <w:rsid w:val="00AF45B3"/>
    <w:rsid w:val="00AF4C7B"/>
    <w:rsid w:val="00B00767"/>
    <w:rsid w:val="00B01B42"/>
    <w:rsid w:val="00B03490"/>
    <w:rsid w:val="00B15D99"/>
    <w:rsid w:val="00B20624"/>
    <w:rsid w:val="00B20AE2"/>
    <w:rsid w:val="00B211FB"/>
    <w:rsid w:val="00B27A6A"/>
    <w:rsid w:val="00B310CC"/>
    <w:rsid w:val="00B31F1B"/>
    <w:rsid w:val="00B33F01"/>
    <w:rsid w:val="00B41D4F"/>
    <w:rsid w:val="00B468F5"/>
    <w:rsid w:val="00B51127"/>
    <w:rsid w:val="00B544EB"/>
    <w:rsid w:val="00B54585"/>
    <w:rsid w:val="00B561E6"/>
    <w:rsid w:val="00B63600"/>
    <w:rsid w:val="00B66E85"/>
    <w:rsid w:val="00B70955"/>
    <w:rsid w:val="00B72BBC"/>
    <w:rsid w:val="00B73B77"/>
    <w:rsid w:val="00B7604B"/>
    <w:rsid w:val="00B76F87"/>
    <w:rsid w:val="00B81674"/>
    <w:rsid w:val="00B85F52"/>
    <w:rsid w:val="00B940BC"/>
    <w:rsid w:val="00B96F32"/>
    <w:rsid w:val="00BA66CC"/>
    <w:rsid w:val="00BA7FA9"/>
    <w:rsid w:val="00BC1226"/>
    <w:rsid w:val="00BC3AF0"/>
    <w:rsid w:val="00BC46E1"/>
    <w:rsid w:val="00BF366D"/>
    <w:rsid w:val="00BF4739"/>
    <w:rsid w:val="00C0529B"/>
    <w:rsid w:val="00C05EEA"/>
    <w:rsid w:val="00C0667C"/>
    <w:rsid w:val="00C1367B"/>
    <w:rsid w:val="00C223DA"/>
    <w:rsid w:val="00C30873"/>
    <w:rsid w:val="00C34485"/>
    <w:rsid w:val="00C37A21"/>
    <w:rsid w:val="00C37AC1"/>
    <w:rsid w:val="00C43AB2"/>
    <w:rsid w:val="00C50E91"/>
    <w:rsid w:val="00C6023D"/>
    <w:rsid w:val="00C626DB"/>
    <w:rsid w:val="00C63A86"/>
    <w:rsid w:val="00C71B1D"/>
    <w:rsid w:val="00C72977"/>
    <w:rsid w:val="00C76AB6"/>
    <w:rsid w:val="00C85CDA"/>
    <w:rsid w:val="00C879E7"/>
    <w:rsid w:val="00C90F41"/>
    <w:rsid w:val="00C92ADD"/>
    <w:rsid w:val="00C96BD0"/>
    <w:rsid w:val="00CA3468"/>
    <w:rsid w:val="00CA47C1"/>
    <w:rsid w:val="00CA64E6"/>
    <w:rsid w:val="00CB19BE"/>
    <w:rsid w:val="00CB3F24"/>
    <w:rsid w:val="00CC2C92"/>
    <w:rsid w:val="00CE1163"/>
    <w:rsid w:val="00CE3571"/>
    <w:rsid w:val="00CF1AB1"/>
    <w:rsid w:val="00D067DD"/>
    <w:rsid w:val="00D26AC0"/>
    <w:rsid w:val="00D34927"/>
    <w:rsid w:val="00D35BE1"/>
    <w:rsid w:val="00D35CCA"/>
    <w:rsid w:val="00D372C4"/>
    <w:rsid w:val="00D41AF6"/>
    <w:rsid w:val="00D44E17"/>
    <w:rsid w:val="00D50F76"/>
    <w:rsid w:val="00D5381E"/>
    <w:rsid w:val="00D571BD"/>
    <w:rsid w:val="00D7217F"/>
    <w:rsid w:val="00D77BBE"/>
    <w:rsid w:val="00D815C4"/>
    <w:rsid w:val="00D87DA2"/>
    <w:rsid w:val="00D950D2"/>
    <w:rsid w:val="00D96084"/>
    <w:rsid w:val="00D962C2"/>
    <w:rsid w:val="00D97188"/>
    <w:rsid w:val="00D976FC"/>
    <w:rsid w:val="00DA4B6A"/>
    <w:rsid w:val="00DB2A2F"/>
    <w:rsid w:val="00DC293C"/>
    <w:rsid w:val="00DC2EA0"/>
    <w:rsid w:val="00DE233D"/>
    <w:rsid w:val="00DE3CDB"/>
    <w:rsid w:val="00DF126A"/>
    <w:rsid w:val="00DF7785"/>
    <w:rsid w:val="00E05A73"/>
    <w:rsid w:val="00E067BD"/>
    <w:rsid w:val="00E07E37"/>
    <w:rsid w:val="00E17D65"/>
    <w:rsid w:val="00E2583E"/>
    <w:rsid w:val="00E34FAC"/>
    <w:rsid w:val="00E37C5D"/>
    <w:rsid w:val="00E42395"/>
    <w:rsid w:val="00E54694"/>
    <w:rsid w:val="00E54E28"/>
    <w:rsid w:val="00E55074"/>
    <w:rsid w:val="00E754EB"/>
    <w:rsid w:val="00E76685"/>
    <w:rsid w:val="00E77F00"/>
    <w:rsid w:val="00E822E0"/>
    <w:rsid w:val="00E9032F"/>
    <w:rsid w:val="00EA63B5"/>
    <w:rsid w:val="00EA684F"/>
    <w:rsid w:val="00EB0E10"/>
    <w:rsid w:val="00EB14D6"/>
    <w:rsid w:val="00EB6864"/>
    <w:rsid w:val="00EC610A"/>
    <w:rsid w:val="00ED00F7"/>
    <w:rsid w:val="00ED3A3F"/>
    <w:rsid w:val="00ED5C56"/>
    <w:rsid w:val="00ED74BD"/>
    <w:rsid w:val="00EE0A92"/>
    <w:rsid w:val="00EE3327"/>
    <w:rsid w:val="00EF0E1A"/>
    <w:rsid w:val="00EF297A"/>
    <w:rsid w:val="00EF357F"/>
    <w:rsid w:val="00EF6CAC"/>
    <w:rsid w:val="00F005E2"/>
    <w:rsid w:val="00F02D26"/>
    <w:rsid w:val="00F03107"/>
    <w:rsid w:val="00F049D3"/>
    <w:rsid w:val="00F061E1"/>
    <w:rsid w:val="00F14EDE"/>
    <w:rsid w:val="00F25CC6"/>
    <w:rsid w:val="00F34468"/>
    <w:rsid w:val="00F35C49"/>
    <w:rsid w:val="00F47F06"/>
    <w:rsid w:val="00F5480D"/>
    <w:rsid w:val="00F553F0"/>
    <w:rsid w:val="00F5692C"/>
    <w:rsid w:val="00F7535E"/>
    <w:rsid w:val="00F774C4"/>
    <w:rsid w:val="00F808B8"/>
    <w:rsid w:val="00F84226"/>
    <w:rsid w:val="00FA0B62"/>
    <w:rsid w:val="00FA1981"/>
    <w:rsid w:val="00FA77AA"/>
    <w:rsid w:val="00FB3E87"/>
    <w:rsid w:val="00FB57BE"/>
    <w:rsid w:val="00FB7E8E"/>
    <w:rsid w:val="00FC3C56"/>
    <w:rsid w:val="00FC68CF"/>
    <w:rsid w:val="00FC7368"/>
    <w:rsid w:val="00FC7AE1"/>
    <w:rsid w:val="00FD0140"/>
    <w:rsid w:val="00FE5251"/>
    <w:rsid w:val="00FE6814"/>
    <w:rsid w:val="00FF6EA4"/>
  </w:rsids>
  <m:mathPr>
    <m:mathFont m:val="Cambria Math"/>
    <m:brkBin m:val="before"/>
    <m:brkBinSub m:val="--"/>
    <m:smallFrac/>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D6F40"/>
  <w15:docId w15:val="{B86645FA-9651-4B5E-8776-3E4A5266D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D"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C4D"/>
    <w:pPr>
      <w:spacing w:after="200" w:line="276" w:lineRule="auto"/>
    </w:pPr>
    <w:rPr>
      <w:sz w:val="22"/>
      <w:szCs w:val="28"/>
      <w:lang w:val="en-US" w:bidi="bn-IN"/>
    </w:rPr>
  </w:style>
  <w:style w:type="paragraph" w:styleId="Heading1">
    <w:name w:val="heading 1"/>
    <w:next w:val="Normal"/>
    <w:link w:val="Heading1Char"/>
    <w:qFormat/>
    <w:rsid w:val="00ED3A3F"/>
    <w:pPr>
      <w:keepNext/>
      <w:keepLines/>
      <w:pBdr>
        <w:top w:val="nil"/>
        <w:left w:val="nil"/>
        <w:bottom w:val="nil"/>
        <w:right w:val="nil"/>
        <w:between w:val="nil"/>
        <w:bar w:val="nil"/>
      </w:pBdr>
      <w:spacing w:before="240" w:after="120" w:line="360" w:lineRule="auto"/>
      <w:outlineLvl w:val="0"/>
    </w:pPr>
    <w:rPr>
      <w:rFonts w:ascii="Times New Roman Bold" w:eastAsia="Times New Roman Bold" w:hAnsi="Times New Roman Bold" w:cs="Times New Roman Bold"/>
      <w:color w:val="000000"/>
      <w:sz w:val="28"/>
      <w:szCs w:val="28"/>
      <w:u w:color="000000"/>
      <w:bdr w:val="nil"/>
      <w:lang w:val="en-US" w:eastAsia="fi-FI"/>
    </w:rPr>
  </w:style>
  <w:style w:type="paragraph" w:styleId="Heading2">
    <w:name w:val="heading 2"/>
    <w:next w:val="Normal"/>
    <w:link w:val="Heading2Char"/>
    <w:qFormat/>
    <w:rsid w:val="00ED3A3F"/>
    <w:pPr>
      <w:keepNext/>
      <w:keepLines/>
      <w:pBdr>
        <w:top w:val="nil"/>
        <w:left w:val="nil"/>
        <w:bottom w:val="nil"/>
        <w:right w:val="nil"/>
        <w:between w:val="nil"/>
        <w:bar w:val="nil"/>
      </w:pBdr>
      <w:spacing w:before="40" w:after="120" w:line="360" w:lineRule="auto"/>
      <w:outlineLvl w:val="1"/>
    </w:pPr>
    <w:rPr>
      <w:rFonts w:ascii="Times New Roman Bold" w:eastAsia="Times New Roman Bold" w:hAnsi="Times New Roman Bold" w:cs="Times New Roman Bold"/>
      <w:color w:val="000000"/>
      <w:sz w:val="24"/>
      <w:szCs w:val="24"/>
      <w:u w:color="000000"/>
      <w:bdr w:val="nil"/>
      <w:lang w:val="en-US" w:eastAsia="fi-FI"/>
    </w:rPr>
  </w:style>
  <w:style w:type="paragraph" w:styleId="Heading3">
    <w:name w:val="heading 3"/>
    <w:next w:val="Normal"/>
    <w:link w:val="Heading3Char"/>
    <w:qFormat/>
    <w:rsid w:val="00ED3A3F"/>
    <w:pPr>
      <w:keepNext/>
      <w:keepLines/>
      <w:pBdr>
        <w:top w:val="nil"/>
        <w:left w:val="nil"/>
        <w:bottom w:val="nil"/>
        <w:right w:val="nil"/>
        <w:between w:val="nil"/>
        <w:bar w:val="nil"/>
      </w:pBdr>
      <w:spacing w:before="40" w:after="120" w:line="360" w:lineRule="auto"/>
      <w:outlineLvl w:val="2"/>
    </w:pPr>
    <w:rPr>
      <w:rFonts w:ascii="Times New Roman" w:eastAsia="Times New Roman" w:hAnsi="Times New Roman"/>
      <w:color w:val="000000"/>
      <w:sz w:val="24"/>
      <w:szCs w:val="24"/>
      <w:u w:color="000000"/>
      <w:bdr w:val="nil"/>
      <w:lang w:val="en-US" w:eastAsia="fi-FI"/>
    </w:rPr>
  </w:style>
  <w:style w:type="paragraph" w:styleId="Heading4">
    <w:name w:val="heading 4"/>
    <w:basedOn w:val="Normal"/>
    <w:next w:val="Normal"/>
    <w:link w:val="Heading4Char"/>
    <w:uiPriority w:val="9"/>
    <w:unhideWhenUsed/>
    <w:qFormat/>
    <w:rsid w:val="00ED3A3F"/>
    <w:pPr>
      <w:keepNext/>
      <w:keepLines/>
      <w:pBdr>
        <w:top w:val="nil"/>
        <w:left w:val="nil"/>
        <w:bottom w:val="nil"/>
        <w:right w:val="nil"/>
        <w:between w:val="nil"/>
        <w:bar w:val="nil"/>
      </w:pBdr>
      <w:spacing w:before="200" w:after="0" w:line="360" w:lineRule="auto"/>
      <w:outlineLvl w:val="3"/>
    </w:pPr>
    <w:rPr>
      <w:rFonts w:ascii="Times New Roman" w:eastAsia="Times New Roman" w:hAnsi="Times New Roman"/>
      <w:bCs/>
      <w:iCs/>
      <w:sz w:val="24"/>
      <w:szCs w:val="24"/>
      <w:u w:color="000000"/>
      <w:bdr w:val="nil"/>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934130"/>
    <w:pPr>
      <w:spacing w:after="0" w:line="240" w:lineRule="auto"/>
    </w:pPr>
    <w:rPr>
      <w:rFonts w:ascii="Times New Roman" w:eastAsia="SimSun" w:hAnsi="Times New Roman"/>
      <w:sz w:val="20"/>
      <w:szCs w:val="20"/>
      <w:lang w:eastAsia="zh-CN" w:bidi="ar-SA"/>
    </w:rPr>
  </w:style>
  <w:style w:type="character" w:customStyle="1" w:styleId="FootnoteTextChar">
    <w:name w:val="Footnote Text Char"/>
    <w:link w:val="FootnoteText"/>
    <w:rsid w:val="00934130"/>
    <w:rPr>
      <w:rFonts w:ascii="Times New Roman" w:eastAsia="SimSun" w:hAnsi="Times New Roman" w:cs="Times New Roman"/>
      <w:sz w:val="20"/>
      <w:szCs w:val="20"/>
      <w:lang w:eastAsia="zh-CN" w:bidi="ar-SA"/>
    </w:rPr>
  </w:style>
  <w:style w:type="character" w:styleId="FootnoteReference">
    <w:name w:val="footnote reference"/>
    <w:uiPriority w:val="99"/>
    <w:rsid w:val="00934130"/>
    <w:rPr>
      <w:vertAlign w:val="superscript"/>
    </w:rPr>
  </w:style>
  <w:style w:type="paragraph" w:styleId="ListParagraph">
    <w:name w:val="List Paragraph"/>
    <w:basedOn w:val="Normal"/>
    <w:uiPriority w:val="34"/>
    <w:qFormat/>
    <w:rsid w:val="00C37A21"/>
    <w:pPr>
      <w:ind w:left="720"/>
      <w:contextualSpacing/>
    </w:pPr>
  </w:style>
  <w:style w:type="paragraph" w:styleId="BalloonText">
    <w:name w:val="Balloon Text"/>
    <w:basedOn w:val="Normal"/>
    <w:link w:val="BalloonTextChar"/>
    <w:uiPriority w:val="99"/>
    <w:semiHidden/>
    <w:unhideWhenUsed/>
    <w:rsid w:val="00643BF3"/>
    <w:pPr>
      <w:spacing w:after="0" w:line="240" w:lineRule="auto"/>
    </w:pPr>
    <w:rPr>
      <w:rFonts w:ascii="Tahoma" w:hAnsi="Tahoma" w:cs="Tahoma"/>
      <w:sz w:val="16"/>
      <w:szCs w:val="20"/>
    </w:rPr>
  </w:style>
  <w:style w:type="character" w:customStyle="1" w:styleId="BalloonTextChar">
    <w:name w:val="Balloon Text Char"/>
    <w:link w:val="BalloonText"/>
    <w:uiPriority w:val="99"/>
    <w:semiHidden/>
    <w:rsid w:val="00643BF3"/>
    <w:rPr>
      <w:rFonts w:ascii="Tahoma" w:hAnsi="Tahoma" w:cs="Tahoma"/>
      <w:sz w:val="16"/>
      <w:szCs w:val="20"/>
    </w:rPr>
  </w:style>
  <w:style w:type="paragraph" w:styleId="Bibliography">
    <w:name w:val="Bibliography"/>
    <w:basedOn w:val="Normal"/>
    <w:next w:val="Normal"/>
    <w:uiPriority w:val="37"/>
    <w:unhideWhenUsed/>
    <w:rsid w:val="00D44E17"/>
  </w:style>
  <w:style w:type="paragraph" w:styleId="NoSpacing">
    <w:name w:val="No Spacing"/>
    <w:uiPriority w:val="1"/>
    <w:qFormat/>
    <w:rsid w:val="001A55CA"/>
    <w:pPr>
      <w:jc w:val="both"/>
    </w:pPr>
    <w:rPr>
      <w:sz w:val="22"/>
      <w:szCs w:val="22"/>
      <w:lang w:val="en-US"/>
    </w:rPr>
  </w:style>
  <w:style w:type="paragraph" w:styleId="Header">
    <w:name w:val="header"/>
    <w:basedOn w:val="Normal"/>
    <w:link w:val="HeaderChar"/>
    <w:uiPriority w:val="99"/>
    <w:unhideWhenUsed/>
    <w:rsid w:val="00A00C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C6D"/>
  </w:style>
  <w:style w:type="paragraph" w:styleId="Footer">
    <w:name w:val="footer"/>
    <w:basedOn w:val="Normal"/>
    <w:link w:val="FooterChar"/>
    <w:uiPriority w:val="99"/>
    <w:unhideWhenUsed/>
    <w:rsid w:val="00A00C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C6D"/>
  </w:style>
  <w:style w:type="paragraph" w:styleId="EndnoteText">
    <w:name w:val="endnote text"/>
    <w:basedOn w:val="Normal"/>
    <w:link w:val="EndnoteTextChar"/>
    <w:uiPriority w:val="99"/>
    <w:semiHidden/>
    <w:unhideWhenUsed/>
    <w:rsid w:val="007811FE"/>
    <w:pPr>
      <w:spacing w:after="0" w:line="240" w:lineRule="auto"/>
    </w:pPr>
    <w:rPr>
      <w:sz w:val="20"/>
      <w:szCs w:val="25"/>
    </w:rPr>
  </w:style>
  <w:style w:type="character" w:customStyle="1" w:styleId="EndnoteTextChar">
    <w:name w:val="Endnote Text Char"/>
    <w:link w:val="EndnoteText"/>
    <w:uiPriority w:val="99"/>
    <w:semiHidden/>
    <w:rsid w:val="007811FE"/>
    <w:rPr>
      <w:sz w:val="20"/>
      <w:szCs w:val="25"/>
    </w:rPr>
  </w:style>
  <w:style w:type="character" w:styleId="EndnoteReference">
    <w:name w:val="endnote reference"/>
    <w:uiPriority w:val="99"/>
    <w:semiHidden/>
    <w:unhideWhenUsed/>
    <w:rsid w:val="007811FE"/>
    <w:rPr>
      <w:vertAlign w:val="superscript"/>
    </w:rPr>
  </w:style>
  <w:style w:type="character" w:styleId="Hyperlink">
    <w:name w:val="Hyperlink"/>
    <w:uiPriority w:val="99"/>
    <w:unhideWhenUsed/>
    <w:rsid w:val="00A07F33"/>
    <w:rPr>
      <w:color w:val="0000FF"/>
      <w:u w:val="single"/>
    </w:rPr>
  </w:style>
  <w:style w:type="paragraph" w:customStyle="1" w:styleId="Default">
    <w:name w:val="Default"/>
    <w:rsid w:val="00A07F33"/>
    <w:pPr>
      <w:autoSpaceDE w:val="0"/>
      <w:autoSpaceDN w:val="0"/>
      <w:adjustRightInd w:val="0"/>
    </w:pPr>
    <w:rPr>
      <w:rFonts w:ascii="Times New Roman" w:hAnsi="Times New Roman"/>
      <w:color w:val="000000"/>
      <w:sz w:val="24"/>
      <w:szCs w:val="24"/>
      <w:lang w:val="en-US" w:bidi="bn-IN"/>
    </w:rPr>
  </w:style>
  <w:style w:type="paragraph" w:customStyle="1" w:styleId="Style1">
    <w:name w:val="Style1"/>
    <w:basedOn w:val="NoSpacing"/>
    <w:link w:val="Style1Char"/>
    <w:qFormat/>
    <w:rsid w:val="00C76AB6"/>
    <w:pPr>
      <w:jc w:val="left"/>
    </w:pPr>
    <w:rPr>
      <w:rFonts w:cs="Vrinda"/>
    </w:rPr>
  </w:style>
  <w:style w:type="character" w:customStyle="1" w:styleId="Style1Char">
    <w:name w:val="Style1 Char"/>
    <w:link w:val="Style1"/>
    <w:rsid w:val="00C76AB6"/>
    <w:rPr>
      <w:rFonts w:ascii="Calibri" w:eastAsia="Calibri" w:hAnsi="Calibri" w:cs="Vrinda"/>
      <w:szCs w:val="22"/>
      <w:lang w:bidi="ar-SA"/>
    </w:rPr>
  </w:style>
  <w:style w:type="paragraph" w:styleId="BodyText2">
    <w:name w:val="Body Text 2"/>
    <w:basedOn w:val="Normal"/>
    <w:link w:val="BodyText2Char"/>
    <w:semiHidden/>
    <w:rsid w:val="00FC7AE1"/>
    <w:pPr>
      <w:tabs>
        <w:tab w:val="left" w:pos="748"/>
      </w:tabs>
      <w:spacing w:after="0" w:line="360" w:lineRule="auto"/>
    </w:pPr>
    <w:rPr>
      <w:rFonts w:ascii="Times New Roman" w:eastAsia="Times New Roman" w:hAnsi="Times New Roman"/>
      <w:sz w:val="26"/>
      <w:szCs w:val="20"/>
      <w:lang w:bidi="ar-SA"/>
    </w:rPr>
  </w:style>
  <w:style w:type="character" w:customStyle="1" w:styleId="BodyText2Char">
    <w:name w:val="Body Text 2 Char"/>
    <w:link w:val="BodyText2"/>
    <w:semiHidden/>
    <w:rsid w:val="00FC7AE1"/>
    <w:rPr>
      <w:rFonts w:ascii="Times New Roman" w:eastAsia="Times New Roman" w:hAnsi="Times New Roman" w:cs="Times New Roman"/>
      <w:sz w:val="26"/>
      <w:szCs w:val="20"/>
      <w:lang w:bidi="ar-SA"/>
    </w:rPr>
  </w:style>
  <w:style w:type="character" w:styleId="CommentReference">
    <w:name w:val="annotation reference"/>
    <w:uiPriority w:val="99"/>
    <w:semiHidden/>
    <w:unhideWhenUsed/>
    <w:rsid w:val="000F3B4F"/>
    <w:rPr>
      <w:sz w:val="16"/>
      <w:szCs w:val="16"/>
    </w:rPr>
  </w:style>
  <w:style w:type="paragraph" w:styleId="CommentText">
    <w:name w:val="annotation text"/>
    <w:basedOn w:val="Normal"/>
    <w:link w:val="CommentTextChar"/>
    <w:uiPriority w:val="99"/>
    <w:unhideWhenUsed/>
    <w:rsid w:val="000F3B4F"/>
    <w:pPr>
      <w:spacing w:line="240" w:lineRule="auto"/>
    </w:pPr>
    <w:rPr>
      <w:sz w:val="20"/>
      <w:szCs w:val="25"/>
    </w:rPr>
  </w:style>
  <w:style w:type="character" w:customStyle="1" w:styleId="CommentTextChar">
    <w:name w:val="Comment Text Char"/>
    <w:link w:val="CommentText"/>
    <w:uiPriority w:val="99"/>
    <w:rsid w:val="000F3B4F"/>
    <w:rPr>
      <w:sz w:val="20"/>
      <w:szCs w:val="25"/>
    </w:rPr>
  </w:style>
  <w:style w:type="paragraph" w:styleId="CommentSubject">
    <w:name w:val="annotation subject"/>
    <w:basedOn w:val="CommentText"/>
    <w:next w:val="CommentText"/>
    <w:link w:val="CommentSubjectChar"/>
    <w:uiPriority w:val="99"/>
    <w:semiHidden/>
    <w:unhideWhenUsed/>
    <w:rsid w:val="000F3B4F"/>
    <w:rPr>
      <w:b/>
      <w:bCs/>
    </w:rPr>
  </w:style>
  <w:style w:type="character" w:customStyle="1" w:styleId="CommentSubjectChar">
    <w:name w:val="Comment Subject Char"/>
    <w:link w:val="CommentSubject"/>
    <w:uiPriority w:val="99"/>
    <w:semiHidden/>
    <w:rsid w:val="000F3B4F"/>
    <w:rPr>
      <w:b/>
      <w:bCs/>
      <w:sz w:val="20"/>
      <w:szCs w:val="25"/>
    </w:rPr>
  </w:style>
  <w:style w:type="character" w:customStyle="1" w:styleId="apple-converted-space">
    <w:name w:val="apple-converted-space"/>
    <w:basedOn w:val="DefaultParagraphFont"/>
    <w:rsid w:val="00323A6E"/>
  </w:style>
  <w:style w:type="character" w:styleId="Mention">
    <w:name w:val="Mention"/>
    <w:uiPriority w:val="99"/>
    <w:semiHidden/>
    <w:unhideWhenUsed/>
    <w:rsid w:val="0035562C"/>
    <w:rPr>
      <w:color w:val="2B579A"/>
      <w:shd w:val="clear" w:color="auto" w:fill="E6E6E6"/>
    </w:rPr>
  </w:style>
  <w:style w:type="character" w:styleId="UnresolvedMention">
    <w:name w:val="Unresolved Mention"/>
    <w:uiPriority w:val="99"/>
    <w:semiHidden/>
    <w:unhideWhenUsed/>
    <w:rsid w:val="00AC017F"/>
    <w:rPr>
      <w:color w:val="808080"/>
      <w:shd w:val="clear" w:color="auto" w:fill="E6E6E6"/>
    </w:rPr>
  </w:style>
  <w:style w:type="character" w:customStyle="1" w:styleId="Heading1Char">
    <w:name w:val="Heading 1 Char"/>
    <w:link w:val="Heading1"/>
    <w:rsid w:val="00ED3A3F"/>
    <w:rPr>
      <w:rFonts w:ascii="Times New Roman Bold" w:eastAsia="Times New Roman Bold" w:hAnsi="Times New Roman Bold" w:cs="Times New Roman Bold"/>
      <w:color w:val="000000"/>
      <w:sz w:val="28"/>
      <w:u w:color="000000"/>
      <w:bdr w:val="nil"/>
      <w:lang w:eastAsia="fi-FI" w:bidi="ar-SA"/>
    </w:rPr>
  </w:style>
  <w:style w:type="character" w:customStyle="1" w:styleId="Heading2Char">
    <w:name w:val="Heading 2 Char"/>
    <w:link w:val="Heading2"/>
    <w:rsid w:val="00ED3A3F"/>
    <w:rPr>
      <w:rFonts w:ascii="Times New Roman Bold" w:eastAsia="Times New Roman Bold" w:hAnsi="Times New Roman Bold" w:cs="Times New Roman Bold"/>
      <w:color w:val="000000"/>
      <w:sz w:val="24"/>
      <w:szCs w:val="24"/>
      <w:u w:color="000000"/>
      <w:bdr w:val="nil"/>
      <w:lang w:eastAsia="fi-FI" w:bidi="ar-SA"/>
    </w:rPr>
  </w:style>
  <w:style w:type="character" w:customStyle="1" w:styleId="Heading3Char">
    <w:name w:val="Heading 3 Char"/>
    <w:link w:val="Heading3"/>
    <w:rsid w:val="00ED3A3F"/>
    <w:rPr>
      <w:rFonts w:ascii="Times New Roman" w:eastAsia="Times New Roman" w:hAnsi="Times New Roman" w:cs="Times New Roman"/>
      <w:color w:val="000000"/>
      <w:sz w:val="24"/>
      <w:szCs w:val="24"/>
      <w:u w:color="000000"/>
      <w:bdr w:val="nil"/>
      <w:lang w:eastAsia="fi-FI" w:bidi="ar-SA"/>
    </w:rPr>
  </w:style>
  <w:style w:type="character" w:customStyle="1" w:styleId="Heading4Char">
    <w:name w:val="Heading 4 Char"/>
    <w:link w:val="Heading4"/>
    <w:uiPriority w:val="9"/>
    <w:rsid w:val="00ED3A3F"/>
    <w:rPr>
      <w:rFonts w:ascii="Times New Roman" w:eastAsia="Times New Roman" w:hAnsi="Times New Roman" w:cs="Times New Roman"/>
      <w:bCs/>
      <w:iCs/>
      <w:sz w:val="24"/>
      <w:szCs w:val="24"/>
      <w:u w:color="000000"/>
      <w:bdr w:val="nil"/>
      <w:lang w:bidi="ar-SA"/>
    </w:rPr>
  </w:style>
  <w:style w:type="table" w:customStyle="1" w:styleId="TableNormal1">
    <w:name w:val="Table Normal1"/>
    <w:rsid w:val="00ED3A3F"/>
    <w:pPr>
      <w:pBdr>
        <w:top w:val="nil"/>
        <w:left w:val="nil"/>
        <w:bottom w:val="nil"/>
        <w:right w:val="nil"/>
        <w:between w:val="nil"/>
        <w:bar w:val="nil"/>
      </w:pBdr>
    </w:pPr>
    <w:rPr>
      <w:rFonts w:ascii="Times New Roman" w:eastAsia="Arial Unicode MS" w:hAnsi="Times New Roman"/>
      <w:sz w:val="24"/>
      <w:szCs w:val="24"/>
      <w:bdr w:val="nil"/>
      <w:lang w:val="fi-FI" w:eastAsia="fi-FI"/>
    </w:rPr>
    <w:tblPr>
      <w:tblInd w:w="0" w:type="dxa"/>
      <w:tblCellMar>
        <w:top w:w="0" w:type="dxa"/>
        <w:left w:w="0" w:type="dxa"/>
        <w:bottom w:w="0" w:type="dxa"/>
        <w:right w:w="0" w:type="dxa"/>
      </w:tblCellMar>
    </w:tblPr>
  </w:style>
  <w:style w:type="paragraph" w:customStyle="1" w:styleId="Yl-jaalaotsake">
    <w:name w:val="Ylä- ja alaotsake"/>
    <w:rsid w:val="00ED3A3F"/>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lang w:val="fi-FI" w:eastAsia="fi-FI"/>
    </w:rPr>
  </w:style>
  <w:style w:type="paragraph" w:styleId="TOCHeading">
    <w:name w:val="TOC Heading"/>
    <w:next w:val="Normal"/>
    <w:uiPriority w:val="39"/>
    <w:qFormat/>
    <w:rsid w:val="00ED3A3F"/>
    <w:pPr>
      <w:keepNext/>
      <w:keepLines/>
      <w:pBdr>
        <w:top w:val="nil"/>
        <w:left w:val="nil"/>
        <w:bottom w:val="nil"/>
        <w:right w:val="nil"/>
        <w:between w:val="nil"/>
        <w:bar w:val="nil"/>
      </w:pBdr>
      <w:spacing w:before="240" w:after="120" w:line="259" w:lineRule="auto"/>
    </w:pPr>
    <w:rPr>
      <w:rFonts w:ascii="Calibri Light" w:eastAsia="Calibri Light" w:hAnsi="Calibri Light" w:cs="Calibri Light"/>
      <w:color w:val="2E74B5"/>
      <w:sz w:val="32"/>
      <w:szCs w:val="32"/>
      <w:u w:color="2E74B5"/>
      <w:bdr w:val="nil"/>
      <w:lang w:val="en-US" w:eastAsia="fi-FI"/>
    </w:rPr>
  </w:style>
  <w:style w:type="paragraph" w:customStyle="1" w:styleId="TOC11">
    <w:name w:val="TOC 11"/>
    <w:rsid w:val="00ED3A3F"/>
    <w:pPr>
      <w:pBdr>
        <w:top w:val="nil"/>
        <w:left w:val="nil"/>
        <w:bottom w:val="nil"/>
        <w:right w:val="nil"/>
        <w:between w:val="nil"/>
        <w:bar w:val="nil"/>
      </w:pBdr>
      <w:tabs>
        <w:tab w:val="right" w:pos="9044"/>
      </w:tabs>
      <w:spacing w:after="100" w:line="360" w:lineRule="auto"/>
    </w:pPr>
    <w:rPr>
      <w:rFonts w:ascii="Times New Roman Bold" w:eastAsia="Times New Roman Bold" w:hAnsi="Times New Roman Bold" w:cs="Times New Roman Bold"/>
      <w:color w:val="000000"/>
      <w:sz w:val="28"/>
      <w:szCs w:val="28"/>
      <w:u w:color="000000"/>
      <w:bdr w:val="nil"/>
      <w:lang w:val="en-US" w:eastAsia="fi-FI"/>
    </w:rPr>
  </w:style>
  <w:style w:type="paragraph" w:customStyle="1" w:styleId="TOC21">
    <w:name w:val="TOC 21"/>
    <w:rsid w:val="00ED3A3F"/>
    <w:pPr>
      <w:pBdr>
        <w:top w:val="nil"/>
        <w:left w:val="nil"/>
        <w:bottom w:val="nil"/>
        <w:right w:val="nil"/>
        <w:between w:val="nil"/>
        <w:bar w:val="nil"/>
      </w:pBdr>
      <w:tabs>
        <w:tab w:val="right" w:pos="9044"/>
      </w:tabs>
      <w:spacing w:after="100" w:line="360" w:lineRule="auto"/>
    </w:pPr>
    <w:rPr>
      <w:rFonts w:ascii="Times New Roman Bold" w:eastAsia="Times New Roman Bold" w:hAnsi="Times New Roman Bold" w:cs="Times New Roman Bold"/>
      <w:color w:val="000000"/>
      <w:sz w:val="28"/>
      <w:szCs w:val="28"/>
      <w:u w:color="000000"/>
      <w:bdr w:val="nil"/>
      <w:lang w:val="fi-FI" w:eastAsia="fi-FI"/>
    </w:rPr>
  </w:style>
  <w:style w:type="paragraph" w:customStyle="1" w:styleId="TOC31">
    <w:name w:val="TOC 31"/>
    <w:rsid w:val="00ED3A3F"/>
    <w:pPr>
      <w:pBdr>
        <w:top w:val="nil"/>
        <w:left w:val="nil"/>
        <w:bottom w:val="nil"/>
        <w:right w:val="nil"/>
        <w:between w:val="nil"/>
        <w:bar w:val="nil"/>
      </w:pBdr>
      <w:tabs>
        <w:tab w:val="right" w:pos="9044"/>
      </w:tabs>
      <w:spacing w:after="100" w:line="360" w:lineRule="auto"/>
      <w:ind w:left="480"/>
    </w:pPr>
    <w:rPr>
      <w:rFonts w:ascii="Times New Roman" w:eastAsia="Times New Roman" w:hAnsi="Times New Roman"/>
      <w:color w:val="000000"/>
      <w:sz w:val="24"/>
      <w:szCs w:val="24"/>
      <w:u w:color="000000"/>
      <w:bdr w:val="nil"/>
      <w:lang w:val="en-US" w:eastAsia="fi-FI"/>
    </w:rPr>
  </w:style>
  <w:style w:type="numbering" w:customStyle="1" w:styleId="List0">
    <w:name w:val="List 0"/>
    <w:basedOn w:val="Tuotutyyli1"/>
    <w:rsid w:val="00ED3A3F"/>
    <w:pPr>
      <w:numPr>
        <w:numId w:val="5"/>
      </w:numPr>
    </w:pPr>
  </w:style>
  <w:style w:type="numbering" w:customStyle="1" w:styleId="Tuotutyyli1">
    <w:name w:val="Tuotu tyyli: 1"/>
    <w:rsid w:val="00ED3A3F"/>
  </w:style>
  <w:style w:type="character" w:customStyle="1" w:styleId="Linkki">
    <w:name w:val="Linkki"/>
    <w:rsid w:val="00ED3A3F"/>
    <w:rPr>
      <w:color w:val="0563C1"/>
      <w:u w:val="single" w:color="0563C1"/>
    </w:rPr>
  </w:style>
  <w:style w:type="character" w:customStyle="1" w:styleId="Hyperlink0">
    <w:name w:val="Hyperlink.0"/>
    <w:rsid w:val="00ED3A3F"/>
    <w:rPr>
      <w:color w:val="0563C1"/>
      <w:sz w:val="22"/>
      <w:szCs w:val="22"/>
      <w:u w:val="single" w:color="0563C1"/>
      <w:lang w:val="en-US"/>
    </w:rPr>
  </w:style>
  <w:style w:type="character" w:customStyle="1" w:styleId="Hyperlink1">
    <w:name w:val="Hyperlink.1"/>
    <w:rsid w:val="00ED3A3F"/>
    <w:rPr>
      <w:color w:val="0563C1"/>
      <w:sz w:val="22"/>
      <w:szCs w:val="22"/>
      <w:u w:val="single" w:color="0563C1"/>
    </w:rPr>
  </w:style>
  <w:style w:type="character" w:customStyle="1" w:styleId="Hyperlink2">
    <w:name w:val="Hyperlink.2"/>
    <w:rsid w:val="00ED3A3F"/>
    <w:rPr>
      <w:color w:val="0563C1"/>
      <w:u w:val="single" w:color="0563C1"/>
      <w:lang w:val="en-US"/>
    </w:rPr>
  </w:style>
  <w:style w:type="paragraph" w:styleId="TOC1">
    <w:name w:val="toc 1"/>
    <w:basedOn w:val="Normal"/>
    <w:next w:val="Normal"/>
    <w:autoRedefine/>
    <w:uiPriority w:val="39"/>
    <w:unhideWhenUsed/>
    <w:rsid w:val="00ED3A3F"/>
    <w:pPr>
      <w:pBdr>
        <w:top w:val="nil"/>
        <w:left w:val="nil"/>
        <w:bottom w:val="nil"/>
        <w:right w:val="nil"/>
        <w:between w:val="nil"/>
        <w:bar w:val="nil"/>
      </w:pBdr>
      <w:spacing w:before="120" w:after="0" w:line="360" w:lineRule="auto"/>
    </w:pPr>
    <w:rPr>
      <w:rFonts w:eastAsia="Arial Unicode MS" w:cs="Arial Unicode MS"/>
      <w:b/>
      <w:caps/>
      <w:color w:val="000000"/>
      <w:szCs w:val="22"/>
      <w:u w:color="000000"/>
      <w:bdr w:val="nil"/>
      <w:lang w:bidi="ar-SA"/>
    </w:rPr>
  </w:style>
  <w:style w:type="paragraph" w:styleId="TOC2">
    <w:name w:val="toc 2"/>
    <w:basedOn w:val="Normal"/>
    <w:next w:val="Normal"/>
    <w:autoRedefine/>
    <w:uiPriority w:val="39"/>
    <w:unhideWhenUsed/>
    <w:rsid w:val="00ED3A3F"/>
    <w:pPr>
      <w:pBdr>
        <w:top w:val="nil"/>
        <w:left w:val="nil"/>
        <w:bottom w:val="nil"/>
        <w:right w:val="nil"/>
        <w:between w:val="nil"/>
        <w:bar w:val="nil"/>
      </w:pBdr>
      <w:tabs>
        <w:tab w:val="right" w:leader="dot" w:pos="9054"/>
      </w:tabs>
      <w:spacing w:after="0" w:line="360" w:lineRule="auto"/>
      <w:ind w:left="240"/>
    </w:pPr>
    <w:rPr>
      <w:rFonts w:eastAsia="Arial Unicode MS" w:cs="Arial Unicode MS"/>
      <w:smallCaps/>
      <w:noProof/>
      <w:color w:val="000000"/>
      <w:szCs w:val="22"/>
      <w:u w:color="000000"/>
      <w:bdr w:val="nil"/>
      <w:lang w:bidi="ar-SA"/>
    </w:rPr>
  </w:style>
  <w:style w:type="paragraph" w:styleId="TOC3">
    <w:name w:val="toc 3"/>
    <w:basedOn w:val="Normal"/>
    <w:next w:val="Normal"/>
    <w:autoRedefine/>
    <w:uiPriority w:val="39"/>
    <w:unhideWhenUsed/>
    <w:rsid w:val="00ED3A3F"/>
    <w:pPr>
      <w:pBdr>
        <w:top w:val="nil"/>
        <w:left w:val="nil"/>
        <w:bottom w:val="nil"/>
        <w:right w:val="nil"/>
        <w:between w:val="nil"/>
        <w:bar w:val="nil"/>
      </w:pBdr>
      <w:spacing w:after="0" w:line="360" w:lineRule="auto"/>
      <w:ind w:left="480"/>
    </w:pPr>
    <w:rPr>
      <w:rFonts w:eastAsia="Arial Unicode MS" w:cs="Arial Unicode MS"/>
      <w:i/>
      <w:color w:val="000000"/>
      <w:szCs w:val="22"/>
      <w:u w:color="000000"/>
      <w:bdr w:val="nil"/>
      <w:lang w:bidi="ar-SA"/>
    </w:rPr>
  </w:style>
  <w:style w:type="paragraph" w:styleId="TOC4">
    <w:name w:val="toc 4"/>
    <w:basedOn w:val="Normal"/>
    <w:next w:val="Normal"/>
    <w:autoRedefine/>
    <w:uiPriority w:val="39"/>
    <w:semiHidden/>
    <w:unhideWhenUsed/>
    <w:rsid w:val="00ED3A3F"/>
    <w:pPr>
      <w:pBdr>
        <w:top w:val="nil"/>
        <w:left w:val="nil"/>
        <w:bottom w:val="nil"/>
        <w:right w:val="nil"/>
        <w:between w:val="nil"/>
        <w:bar w:val="nil"/>
      </w:pBdr>
      <w:spacing w:after="0" w:line="360" w:lineRule="auto"/>
      <w:ind w:left="720"/>
    </w:pPr>
    <w:rPr>
      <w:rFonts w:eastAsia="Arial Unicode MS" w:cs="Arial Unicode MS"/>
      <w:color w:val="000000"/>
      <w:sz w:val="18"/>
      <w:szCs w:val="18"/>
      <w:u w:color="000000"/>
      <w:bdr w:val="nil"/>
      <w:lang w:bidi="ar-SA"/>
    </w:rPr>
  </w:style>
  <w:style w:type="paragraph" w:styleId="TOC5">
    <w:name w:val="toc 5"/>
    <w:basedOn w:val="Normal"/>
    <w:next w:val="Normal"/>
    <w:autoRedefine/>
    <w:uiPriority w:val="39"/>
    <w:semiHidden/>
    <w:unhideWhenUsed/>
    <w:rsid w:val="00ED3A3F"/>
    <w:pPr>
      <w:pBdr>
        <w:top w:val="nil"/>
        <w:left w:val="nil"/>
        <w:bottom w:val="nil"/>
        <w:right w:val="nil"/>
        <w:between w:val="nil"/>
        <w:bar w:val="nil"/>
      </w:pBdr>
      <w:spacing w:after="0" w:line="360" w:lineRule="auto"/>
      <w:ind w:left="960"/>
    </w:pPr>
    <w:rPr>
      <w:rFonts w:eastAsia="Arial Unicode MS" w:cs="Arial Unicode MS"/>
      <w:color w:val="000000"/>
      <w:sz w:val="18"/>
      <w:szCs w:val="18"/>
      <w:u w:color="000000"/>
      <w:bdr w:val="nil"/>
      <w:lang w:bidi="ar-SA"/>
    </w:rPr>
  </w:style>
  <w:style w:type="paragraph" w:styleId="TOC6">
    <w:name w:val="toc 6"/>
    <w:basedOn w:val="Normal"/>
    <w:next w:val="Normal"/>
    <w:autoRedefine/>
    <w:uiPriority w:val="39"/>
    <w:semiHidden/>
    <w:unhideWhenUsed/>
    <w:rsid w:val="00ED3A3F"/>
    <w:pPr>
      <w:pBdr>
        <w:top w:val="nil"/>
        <w:left w:val="nil"/>
        <w:bottom w:val="nil"/>
        <w:right w:val="nil"/>
        <w:between w:val="nil"/>
        <w:bar w:val="nil"/>
      </w:pBdr>
      <w:spacing w:after="0" w:line="360" w:lineRule="auto"/>
      <w:ind w:left="1200"/>
    </w:pPr>
    <w:rPr>
      <w:rFonts w:eastAsia="Arial Unicode MS" w:cs="Arial Unicode MS"/>
      <w:color w:val="000000"/>
      <w:sz w:val="18"/>
      <w:szCs w:val="18"/>
      <w:u w:color="000000"/>
      <w:bdr w:val="nil"/>
      <w:lang w:bidi="ar-SA"/>
    </w:rPr>
  </w:style>
  <w:style w:type="paragraph" w:styleId="TOC7">
    <w:name w:val="toc 7"/>
    <w:basedOn w:val="Normal"/>
    <w:next w:val="Normal"/>
    <w:autoRedefine/>
    <w:uiPriority w:val="39"/>
    <w:semiHidden/>
    <w:unhideWhenUsed/>
    <w:rsid w:val="00ED3A3F"/>
    <w:pPr>
      <w:pBdr>
        <w:top w:val="nil"/>
        <w:left w:val="nil"/>
        <w:bottom w:val="nil"/>
        <w:right w:val="nil"/>
        <w:between w:val="nil"/>
        <w:bar w:val="nil"/>
      </w:pBdr>
      <w:spacing w:after="0" w:line="360" w:lineRule="auto"/>
      <w:ind w:left="1440"/>
    </w:pPr>
    <w:rPr>
      <w:rFonts w:eastAsia="Arial Unicode MS" w:cs="Arial Unicode MS"/>
      <w:color w:val="000000"/>
      <w:sz w:val="18"/>
      <w:szCs w:val="18"/>
      <w:u w:color="000000"/>
      <w:bdr w:val="nil"/>
      <w:lang w:bidi="ar-SA"/>
    </w:rPr>
  </w:style>
  <w:style w:type="paragraph" w:styleId="TOC8">
    <w:name w:val="toc 8"/>
    <w:basedOn w:val="Normal"/>
    <w:next w:val="Normal"/>
    <w:autoRedefine/>
    <w:uiPriority w:val="39"/>
    <w:semiHidden/>
    <w:unhideWhenUsed/>
    <w:rsid w:val="00ED3A3F"/>
    <w:pPr>
      <w:pBdr>
        <w:top w:val="nil"/>
        <w:left w:val="nil"/>
        <w:bottom w:val="nil"/>
        <w:right w:val="nil"/>
        <w:between w:val="nil"/>
        <w:bar w:val="nil"/>
      </w:pBdr>
      <w:spacing w:after="0" w:line="360" w:lineRule="auto"/>
      <w:ind w:left="1680"/>
    </w:pPr>
    <w:rPr>
      <w:rFonts w:eastAsia="Arial Unicode MS" w:cs="Arial Unicode MS"/>
      <w:color w:val="000000"/>
      <w:sz w:val="18"/>
      <w:szCs w:val="18"/>
      <w:u w:color="000000"/>
      <w:bdr w:val="nil"/>
      <w:lang w:bidi="ar-SA"/>
    </w:rPr>
  </w:style>
  <w:style w:type="paragraph" w:styleId="TOC9">
    <w:name w:val="toc 9"/>
    <w:basedOn w:val="Normal"/>
    <w:next w:val="Normal"/>
    <w:autoRedefine/>
    <w:uiPriority w:val="39"/>
    <w:semiHidden/>
    <w:unhideWhenUsed/>
    <w:rsid w:val="00ED3A3F"/>
    <w:pPr>
      <w:pBdr>
        <w:top w:val="nil"/>
        <w:left w:val="nil"/>
        <w:bottom w:val="nil"/>
        <w:right w:val="nil"/>
        <w:between w:val="nil"/>
        <w:bar w:val="nil"/>
      </w:pBdr>
      <w:spacing w:after="0" w:line="360" w:lineRule="auto"/>
      <w:ind w:left="1920"/>
    </w:pPr>
    <w:rPr>
      <w:rFonts w:eastAsia="Arial Unicode MS" w:cs="Arial Unicode MS"/>
      <w:color w:val="000000"/>
      <w:sz w:val="18"/>
      <w:szCs w:val="18"/>
      <w:u w:color="000000"/>
      <w:bdr w:val="nil"/>
      <w:lang w:bidi="ar-SA"/>
    </w:rPr>
  </w:style>
  <w:style w:type="paragraph" w:customStyle="1" w:styleId="Alaviite">
    <w:name w:val="Alaviite"/>
    <w:rsid w:val="00ED3A3F"/>
    <w:pPr>
      <w:pBdr>
        <w:top w:val="nil"/>
        <w:left w:val="nil"/>
        <w:bottom w:val="nil"/>
        <w:right w:val="nil"/>
        <w:between w:val="nil"/>
        <w:bar w:val="nil"/>
      </w:pBdr>
    </w:pPr>
    <w:rPr>
      <w:rFonts w:ascii="Helvetica" w:eastAsia="Helvetica" w:hAnsi="Helvetica" w:cs="Helvetica"/>
      <w:color w:val="000000"/>
      <w:sz w:val="22"/>
      <w:szCs w:val="22"/>
      <w:u w:color="000000"/>
      <w:bdr w:val="nil"/>
      <w:lang w:val="fi-FI" w:eastAsia="fi-FI"/>
    </w:rPr>
  </w:style>
  <w:style w:type="paragraph" w:styleId="Title">
    <w:name w:val="Title"/>
    <w:basedOn w:val="Normal"/>
    <w:next w:val="Normal"/>
    <w:link w:val="TitleChar"/>
    <w:uiPriority w:val="10"/>
    <w:qFormat/>
    <w:rsid w:val="00ED3A3F"/>
    <w:pPr>
      <w:pBdr>
        <w:top w:val="nil"/>
        <w:left w:val="nil"/>
        <w:bottom w:val="single" w:sz="8" w:space="4" w:color="4F81BD"/>
        <w:right w:val="nil"/>
        <w:between w:val="nil"/>
        <w:bar w:val="nil"/>
      </w:pBdr>
      <w:spacing w:after="300" w:line="240" w:lineRule="auto"/>
      <w:contextualSpacing/>
    </w:pPr>
    <w:rPr>
      <w:rFonts w:ascii="Cambria" w:eastAsia="Times New Roman" w:hAnsi="Cambria"/>
      <w:color w:val="17365D"/>
      <w:spacing w:val="5"/>
      <w:kern w:val="28"/>
      <w:sz w:val="52"/>
      <w:szCs w:val="52"/>
      <w:u w:color="000000"/>
      <w:bdr w:val="nil"/>
      <w:lang w:bidi="ar-SA"/>
    </w:rPr>
  </w:style>
  <w:style w:type="character" w:customStyle="1" w:styleId="TitleChar">
    <w:name w:val="Title Char"/>
    <w:link w:val="Title"/>
    <w:uiPriority w:val="10"/>
    <w:rsid w:val="00ED3A3F"/>
    <w:rPr>
      <w:rFonts w:ascii="Cambria" w:eastAsia="Times New Roman" w:hAnsi="Cambria" w:cs="Times New Roman"/>
      <w:color w:val="17365D"/>
      <w:spacing w:val="5"/>
      <w:kern w:val="28"/>
      <w:sz w:val="52"/>
      <w:szCs w:val="52"/>
      <w:u w:color="000000"/>
      <w:bdr w:val="nil"/>
      <w:lang w:bidi="ar-SA"/>
    </w:rPr>
  </w:style>
  <w:style w:type="paragraph" w:customStyle="1" w:styleId="Tyyli1">
    <w:name w:val="Tyyli1"/>
    <w:basedOn w:val="Heading2"/>
    <w:rsid w:val="00ED3A3F"/>
    <w:rPr>
      <w:b/>
    </w:rPr>
  </w:style>
  <w:style w:type="paragraph" w:customStyle="1" w:styleId="Heading21">
    <w:name w:val="Heading 21"/>
    <w:basedOn w:val="Heading2"/>
    <w:qFormat/>
    <w:rsid w:val="00ED3A3F"/>
    <w:rPr>
      <w:b/>
    </w:rPr>
  </w:style>
  <w:style w:type="paragraph" w:customStyle="1" w:styleId="LeiptekstiA">
    <w:name w:val="Leipäteksti A"/>
    <w:rsid w:val="00ED3A3F"/>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en-US" w:eastAsia="fi-FI"/>
    </w:rPr>
  </w:style>
  <w:style w:type="character" w:styleId="FollowedHyperlink">
    <w:name w:val="FollowedHyperlink"/>
    <w:uiPriority w:val="99"/>
    <w:semiHidden/>
    <w:unhideWhenUsed/>
    <w:rsid w:val="00ED3A3F"/>
    <w:rPr>
      <w:color w:val="800080"/>
      <w:u w:val="single"/>
    </w:rPr>
  </w:style>
  <w:style w:type="paragraph" w:styleId="Revision">
    <w:name w:val="Revision"/>
    <w:hidden/>
    <w:uiPriority w:val="99"/>
    <w:semiHidden/>
    <w:rsid w:val="00ED3A3F"/>
    <w:rPr>
      <w:rFonts w:ascii="Times New Roman" w:eastAsia="Arial Unicode MS" w:hAnsi="Arial Unicode MS" w:cs="Arial Unicode MS"/>
      <w:color w:val="000000"/>
      <w:sz w:val="24"/>
      <w:szCs w:val="24"/>
      <w:u w:color="000000"/>
      <w:bdr w:val="nil"/>
      <w:lang w:val="en-US"/>
    </w:rPr>
  </w:style>
  <w:style w:type="character" w:customStyle="1" w:styleId="allowtextselection">
    <w:name w:val="allowtextselection"/>
    <w:basedOn w:val="DefaultParagraphFont"/>
    <w:rsid w:val="00ED3A3F"/>
  </w:style>
  <w:style w:type="table" w:styleId="TableGrid">
    <w:name w:val="Table Grid"/>
    <w:basedOn w:val="TableNormal"/>
    <w:uiPriority w:val="39"/>
    <w:rsid w:val="00363A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363A61"/>
    <w:rPr>
      <w:color w:val="808080"/>
    </w:rPr>
  </w:style>
  <w:style w:type="character" w:styleId="Emphasis">
    <w:name w:val="Emphasis"/>
    <w:uiPriority w:val="20"/>
    <w:qFormat/>
    <w:rsid w:val="003045E4"/>
    <w:rPr>
      <w:i/>
      <w:iCs/>
    </w:rPr>
  </w:style>
  <w:style w:type="character" w:customStyle="1" w:styleId="hps">
    <w:name w:val="hps"/>
    <w:rsid w:val="007B6169"/>
  </w:style>
  <w:style w:type="paragraph" w:styleId="IntenseQuote">
    <w:name w:val="Intense Quote"/>
    <w:basedOn w:val="Normal"/>
    <w:next w:val="Normal"/>
    <w:link w:val="IntenseQuoteChar"/>
    <w:uiPriority w:val="30"/>
    <w:qFormat/>
    <w:rsid w:val="00AC6E2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C6E2E"/>
    <w:rPr>
      <w:i/>
      <w:iCs/>
      <w:color w:val="4472C4" w:themeColor="accent1"/>
      <w:sz w:val="22"/>
      <w:szCs w:val="28"/>
      <w:lang w:val="en-US" w:bidi="bn-IN"/>
    </w:rPr>
  </w:style>
  <w:style w:type="paragraph" w:styleId="NormalWeb">
    <w:name w:val="Normal (Web)"/>
    <w:basedOn w:val="Normal"/>
    <w:uiPriority w:val="99"/>
    <w:semiHidden/>
    <w:unhideWhenUsed/>
    <w:rsid w:val="00124D8C"/>
    <w:pPr>
      <w:spacing w:before="100" w:beforeAutospacing="1" w:after="100" w:afterAutospacing="1" w:line="240" w:lineRule="auto"/>
    </w:pPr>
    <w:rPr>
      <w:rFonts w:ascii="Times New Roman" w:eastAsia="Times New Roman" w:hAnsi="Times New Roman"/>
      <w:sz w:val="24"/>
      <w:szCs w:val="24"/>
      <w:lang w:val="en-ID" w:bidi="ar-SA"/>
    </w:rPr>
  </w:style>
  <w:style w:type="paragraph" w:customStyle="1" w:styleId="HRPUB-PaperTitle">
    <w:name w:val="HRPUB-Paper Title"/>
    <w:rsid w:val="00FB7E8E"/>
    <w:pPr>
      <w:widowControl w:val="0"/>
      <w:spacing w:before="440" w:after="440" w:line="540" w:lineRule="exact"/>
      <w:jc w:val="center"/>
    </w:pPr>
    <w:rPr>
      <w:rFonts w:ascii="Times New Roman" w:eastAsia="Times New Roman" w:hAnsi="Times New Roman"/>
      <w:b/>
      <w:noProof/>
      <w:sz w:val="40"/>
      <w:szCs w:val="48"/>
      <w:lang w:val="en-US"/>
    </w:rPr>
  </w:style>
  <w:style w:type="paragraph" w:customStyle="1" w:styleId="HRPUB-TableNotes">
    <w:name w:val="HRPUB-Table Notes"/>
    <w:qFormat/>
    <w:rsid w:val="00FB7E8E"/>
    <w:pPr>
      <w:widowControl w:val="0"/>
      <w:adjustRightInd w:val="0"/>
      <w:snapToGrid w:val="0"/>
      <w:spacing w:before="100" w:line="160" w:lineRule="exact"/>
    </w:pPr>
    <w:rPr>
      <w:rFonts w:ascii="Times New Roman" w:eastAsia="Times New Roman" w:hAnsi="Times New Roman"/>
      <w:sz w:val="15"/>
      <w:szCs w:val="15"/>
      <w:lang w:val="en-US" w:eastAsia="zh-CN"/>
    </w:rPr>
  </w:style>
  <w:style w:type="paragraph" w:customStyle="1" w:styleId="HRPUB-Paragraph">
    <w:name w:val="HRPUB-Paragraph"/>
    <w:link w:val="HRPUB-ParagraphChar"/>
    <w:rsid w:val="00FB57BE"/>
    <w:pPr>
      <w:widowControl w:val="0"/>
      <w:adjustRightInd w:val="0"/>
      <w:snapToGrid w:val="0"/>
      <w:spacing w:line="240" w:lineRule="exact"/>
      <w:ind w:firstLineChars="100" w:firstLine="100"/>
      <w:jc w:val="both"/>
    </w:pPr>
    <w:rPr>
      <w:rFonts w:ascii="Times New Roman" w:eastAsia="Times New Roman" w:hAnsi="Times New Roman"/>
      <w:szCs w:val="24"/>
      <w:lang w:val="en-US" w:eastAsia="zh-CN"/>
    </w:rPr>
  </w:style>
  <w:style w:type="character" w:customStyle="1" w:styleId="HRPUB-ParagraphChar">
    <w:name w:val="HRPUB-Paragraph Char"/>
    <w:link w:val="HRPUB-Paragraph"/>
    <w:rsid w:val="00FB57BE"/>
    <w:rPr>
      <w:rFonts w:ascii="Times New Roman" w:eastAsia="Times New Roman" w:hAnsi="Times New Roman"/>
      <w:szCs w:val="24"/>
      <w:lang w:val="en-US" w:eastAsia="zh-CN"/>
    </w:rPr>
  </w:style>
  <w:style w:type="paragraph" w:customStyle="1" w:styleId="HRPUB-Abstract">
    <w:name w:val="HRPUB-Abstract"/>
    <w:basedOn w:val="Normal"/>
    <w:next w:val="Normal"/>
    <w:link w:val="HRPUB-AbstractChar"/>
    <w:rsid w:val="00FB57BE"/>
    <w:pPr>
      <w:widowControl w:val="0"/>
      <w:adjustRightInd w:val="0"/>
      <w:snapToGrid w:val="0"/>
      <w:spacing w:after="0" w:line="240" w:lineRule="exact"/>
      <w:jc w:val="both"/>
    </w:pPr>
    <w:rPr>
      <w:rFonts w:ascii="Times New Roman" w:eastAsia="Times New Roman" w:hAnsi="Times New Roman"/>
      <w:sz w:val="20"/>
      <w:szCs w:val="24"/>
      <w:lang w:eastAsia="zh-CN" w:bidi="ar-SA"/>
    </w:rPr>
  </w:style>
  <w:style w:type="paragraph" w:customStyle="1" w:styleId="HRPUB-Affiliation">
    <w:name w:val="HRPUB-Affiliation"/>
    <w:basedOn w:val="Normal"/>
    <w:qFormat/>
    <w:rsid w:val="00FB57BE"/>
    <w:pPr>
      <w:widowControl w:val="0"/>
      <w:spacing w:after="0" w:line="200" w:lineRule="exact"/>
      <w:jc w:val="center"/>
    </w:pPr>
    <w:rPr>
      <w:rFonts w:ascii="Times New Roman" w:eastAsia="Times New Roman" w:hAnsi="Times New Roman"/>
      <w:color w:val="000000"/>
      <w:kern w:val="2"/>
      <w:sz w:val="18"/>
      <w:szCs w:val="18"/>
      <w:lang w:eastAsia="zh-CN" w:bidi="ar-SA"/>
    </w:rPr>
  </w:style>
  <w:style w:type="paragraph" w:customStyle="1" w:styleId="HRPUB-Author">
    <w:name w:val="HRPUB-Author"/>
    <w:qFormat/>
    <w:rsid w:val="00FB57BE"/>
    <w:pPr>
      <w:widowControl w:val="0"/>
      <w:spacing w:before="340" w:after="340"/>
      <w:jc w:val="center"/>
    </w:pPr>
    <w:rPr>
      <w:rFonts w:ascii="Times New Roman" w:eastAsia="Times New Roman" w:hAnsi="Times New Roman"/>
      <w:b/>
      <w:noProof/>
      <w:sz w:val="22"/>
      <w:szCs w:val="21"/>
      <w:lang w:val="en-US"/>
    </w:rPr>
  </w:style>
  <w:style w:type="paragraph" w:customStyle="1" w:styleId="HRPUB-FigureCaption">
    <w:name w:val="HRPUB-Figure Caption"/>
    <w:rsid w:val="00FB57BE"/>
    <w:pPr>
      <w:widowControl w:val="0"/>
      <w:adjustRightInd w:val="0"/>
      <w:snapToGrid w:val="0"/>
      <w:spacing w:after="156" w:line="200" w:lineRule="exact"/>
      <w:jc w:val="center"/>
    </w:pPr>
    <w:rPr>
      <w:rFonts w:ascii="Times New Roman" w:eastAsia="Times New Roman" w:hAnsi="Times New Roman"/>
      <w:sz w:val="16"/>
      <w:szCs w:val="24"/>
      <w:lang w:val="en-US" w:eastAsia="zh-CN"/>
    </w:rPr>
  </w:style>
  <w:style w:type="paragraph" w:customStyle="1" w:styleId="HRPUB-Keywords">
    <w:name w:val="HRPUB-Keywords"/>
    <w:basedOn w:val="Normal"/>
    <w:next w:val="Normal"/>
    <w:link w:val="HRPUB-KeywordsChar"/>
    <w:rsid w:val="00FB57BE"/>
    <w:pPr>
      <w:widowControl w:val="0"/>
      <w:adjustRightInd w:val="0"/>
      <w:snapToGrid w:val="0"/>
      <w:spacing w:before="156" w:after="156" w:line="240" w:lineRule="exact"/>
      <w:jc w:val="both"/>
    </w:pPr>
    <w:rPr>
      <w:rFonts w:ascii="Times New Roman" w:eastAsia="Times New Roman" w:hAnsi="Times New Roman"/>
      <w:sz w:val="20"/>
      <w:szCs w:val="24"/>
      <w:lang w:eastAsia="en-GB" w:bidi="ar-SA"/>
    </w:rPr>
  </w:style>
  <w:style w:type="paragraph" w:customStyle="1" w:styleId="HRPUB-1stHeading">
    <w:name w:val="HRPUB-1st Heading"/>
    <w:qFormat/>
    <w:rsid w:val="00FB57BE"/>
    <w:pPr>
      <w:widowControl w:val="0"/>
      <w:spacing w:before="468" w:after="156" w:line="240" w:lineRule="exact"/>
      <w:ind w:left="100" w:hangingChars="100" w:hanging="100"/>
      <w:outlineLvl w:val="0"/>
    </w:pPr>
    <w:rPr>
      <w:rFonts w:ascii="Times New Roman" w:eastAsia="Times New Roman" w:hAnsi="Times New Roman"/>
      <w:b/>
      <w:sz w:val="28"/>
      <w:szCs w:val="24"/>
      <w:lang w:val="en-US" w:eastAsia="zh-CN"/>
    </w:rPr>
  </w:style>
  <w:style w:type="paragraph" w:customStyle="1" w:styleId="HRPUB-2ndSubhead">
    <w:name w:val="HRPUB-2nd Subhead"/>
    <w:next w:val="Normal"/>
    <w:qFormat/>
    <w:rsid w:val="00FB57BE"/>
    <w:pPr>
      <w:widowControl w:val="0"/>
      <w:spacing w:before="312" w:after="156" w:line="240" w:lineRule="exact"/>
      <w:ind w:left="180" w:hangingChars="180" w:hanging="180"/>
    </w:pPr>
    <w:rPr>
      <w:rFonts w:ascii="Times New Roman" w:eastAsia="Times New Roman" w:hAnsi="Times New Roman"/>
      <w:b/>
      <w:kern w:val="2"/>
      <w:szCs w:val="21"/>
      <w:lang w:val="en-US" w:eastAsia="zh-CN"/>
    </w:rPr>
  </w:style>
  <w:style w:type="paragraph" w:customStyle="1" w:styleId="HRPUB-3rdSubhead">
    <w:name w:val="HRPUB-3rd Subhead"/>
    <w:next w:val="Normal"/>
    <w:qFormat/>
    <w:rsid w:val="00FB57BE"/>
    <w:pPr>
      <w:widowControl w:val="0"/>
      <w:spacing w:before="156" w:after="78" w:line="240" w:lineRule="exact"/>
      <w:ind w:left="250" w:hangingChars="250" w:hanging="250"/>
    </w:pPr>
    <w:rPr>
      <w:rFonts w:ascii="Times New Roman" w:eastAsia="Times New Roman" w:hAnsi="Times New Roman"/>
      <w:kern w:val="2"/>
      <w:szCs w:val="21"/>
      <w:lang w:val="en-US" w:eastAsia="zh-CN"/>
    </w:rPr>
  </w:style>
  <w:style w:type="paragraph" w:customStyle="1" w:styleId="HRPUB-ReferenceListing">
    <w:name w:val="HRPUB-Reference Listing"/>
    <w:rsid w:val="00FB57BE"/>
    <w:pPr>
      <w:widowControl w:val="0"/>
      <w:numPr>
        <w:numId w:val="18"/>
      </w:numPr>
      <w:adjustRightInd w:val="0"/>
      <w:snapToGrid w:val="0"/>
      <w:spacing w:after="156" w:line="200" w:lineRule="exact"/>
      <w:jc w:val="both"/>
    </w:pPr>
    <w:rPr>
      <w:rFonts w:ascii="Times New Roman" w:eastAsia="Times New Roman" w:hAnsi="Times New Roman"/>
      <w:color w:val="404040"/>
      <w:sz w:val="18"/>
      <w:szCs w:val="24"/>
      <w:lang w:val="en-US" w:eastAsia="zh-CN"/>
    </w:rPr>
  </w:style>
  <w:style w:type="paragraph" w:customStyle="1" w:styleId="HRPUB-TableText">
    <w:name w:val="HRPUB-Table Text"/>
    <w:qFormat/>
    <w:rsid w:val="00FB57BE"/>
    <w:pPr>
      <w:widowControl w:val="0"/>
      <w:spacing w:line="200" w:lineRule="exact"/>
      <w:jc w:val="center"/>
    </w:pPr>
    <w:rPr>
      <w:rFonts w:ascii="Times New Roman" w:eastAsia="Times New Roman" w:hAnsi="Times New Roman"/>
      <w:bCs/>
      <w:sz w:val="16"/>
      <w:szCs w:val="16"/>
      <w:lang w:val="en-US" w:eastAsia="zh-CN"/>
    </w:rPr>
  </w:style>
  <w:style w:type="paragraph" w:customStyle="1" w:styleId="HRPUB-TableHeading">
    <w:name w:val="HRPUB-Table Heading"/>
    <w:next w:val="HRPUB-Paragraph"/>
    <w:qFormat/>
    <w:rsid w:val="00FB57BE"/>
    <w:pPr>
      <w:widowControl w:val="0"/>
      <w:spacing w:before="200" w:after="100" w:line="160" w:lineRule="exact"/>
      <w:jc w:val="center"/>
    </w:pPr>
    <w:rPr>
      <w:rFonts w:ascii="Times New Roman" w:eastAsia="Times New Roman" w:hAnsi="Times New Roman"/>
      <w:kern w:val="2"/>
      <w:sz w:val="16"/>
      <w:szCs w:val="21"/>
      <w:lang w:val="en-US" w:eastAsia="zh-CN"/>
    </w:rPr>
  </w:style>
  <w:style w:type="character" w:customStyle="1" w:styleId="HRPUB-KeywordsChar">
    <w:name w:val="HRPUB-Keywords Char"/>
    <w:link w:val="HRPUB-Keywords"/>
    <w:rsid w:val="00FB57BE"/>
    <w:rPr>
      <w:rFonts w:ascii="Times New Roman" w:eastAsia="Times New Roman" w:hAnsi="Times New Roman"/>
      <w:szCs w:val="24"/>
      <w:lang w:val="en-US" w:eastAsia="en-GB"/>
    </w:rPr>
  </w:style>
  <w:style w:type="character" w:customStyle="1" w:styleId="HRPUB-AbstractChar">
    <w:name w:val="HRPUB-Abstract Char"/>
    <w:link w:val="HRPUB-Abstract"/>
    <w:rsid w:val="00FB57BE"/>
    <w:rPr>
      <w:rFonts w:ascii="Times New Roman" w:eastAsia="Times New Roman" w:hAnsi="Times New Roman"/>
      <w:szCs w:val="24"/>
      <w:lang w:val="en-US" w:eastAsia="zh-CN"/>
    </w:rPr>
  </w:style>
  <w:style w:type="paragraph" w:styleId="BodyText">
    <w:name w:val="Body Text"/>
    <w:basedOn w:val="Normal"/>
    <w:link w:val="BodyTextChar"/>
    <w:semiHidden/>
    <w:rsid w:val="00FB57BE"/>
    <w:pPr>
      <w:spacing w:after="0" w:line="228" w:lineRule="auto"/>
      <w:ind w:firstLine="288"/>
      <w:jc w:val="both"/>
    </w:pPr>
    <w:rPr>
      <w:rFonts w:ascii="Times New Roman" w:eastAsia="SimSun" w:hAnsi="Times New Roman"/>
      <w:spacing w:val="-1"/>
      <w:sz w:val="20"/>
      <w:szCs w:val="20"/>
      <w:lang w:bidi="ar-SA"/>
    </w:rPr>
  </w:style>
  <w:style w:type="character" w:customStyle="1" w:styleId="BodyTextChar">
    <w:name w:val="Body Text Char"/>
    <w:basedOn w:val="DefaultParagraphFont"/>
    <w:link w:val="BodyText"/>
    <w:semiHidden/>
    <w:rsid w:val="00FB57BE"/>
    <w:rPr>
      <w:rFonts w:ascii="Times New Roman" w:eastAsia="SimSun" w:hAnsi="Times New Roman"/>
      <w:spacing w:val="-1"/>
      <w:lang w:val="en-US"/>
    </w:rPr>
  </w:style>
  <w:style w:type="paragraph" w:customStyle="1" w:styleId="HRPUB-Figure">
    <w:name w:val="HRPUB-Figure"/>
    <w:qFormat/>
    <w:rsid w:val="00FB57BE"/>
    <w:pPr>
      <w:widowControl w:val="0"/>
      <w:adjustRightInd w:val="0"/>
      <w:snapToGrid w:val="0"/>
      <w:spacing w:before="156" w:after="156" w:line="276" w:lineRule="auto"/>
      <w:jc w:val="center"/>
    </w:pPr>
    <w:rPr>
      <w:rFonts w:ascii="Times New Roman" w:eastAsia="Times New Roman" w:hAnsi="Times New Roman"/>
      <w:sz w:val="15"/>
      <w:szCs w:val="15"/>
      <w:lang w:val="en-US" w:eastAsia="zh-CN"/>
    </w:rPr>
  </w:style>
  <w:style w:type="paragraph" w:customStyle="1" w:styleId="HRPUB-Equation">
    <w:name w:val="HRPUB-Equation"/>
    <w:qFormat/>
    <w:rsid w:val="00FB57BE"/>
    <w:pPr>
      <w:widowControl w:val="0"/>
      <w:adjustRightInd w:val="0"/>
      <w:snapToGrid w:val="0"/>
      <w:spacing w:before="100" w:after="100"/>
      <w:jc w:val="right"/>
    </w:pPr>
    <w:rPr>
      <w:rFonts w:ascii="Times New Roman" w:eastAsia="Times New Roman" w:hAnsi="Times New Roman"/>
      <w:szCs w:val="15"/>
      <w:lang w:val="en-US" w:eastAsia="zh-CN"/>
    </w:rPr>
  </w:style>
  <w:style w:type="character" w:styleId="Strong">
    <w:name w:val="Strong"/>
    <w:uiPriority w:val="22"/>
    <w:qFormat/>
    <w:rsid w:val="00FB57BE"/>
    <w:rPr>
      <w:b/>
      <w:bCs/>
    </w:rPr>
  </w:style>
  <w:style w:type="table" w:styleId="PlainTable2">
    <w:name w:val="Plain Table 2"/>
    <w:basedOn w:val="TableNormal"/>
    <w:uiPriority w:val="42"/>
    <w:rsid w:val="00FB57B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761186">
      <w:bodyDiv w:val="1"/>
      <w:marLeft w:val="0"/>
      <w:marRight w:val="0"/>
      <w:marTop w:val="0"/>
      <w:marBottom w:val="0"/>
      <w:divBdr>
        <w:top w:val="none" w:sz="0" w:space="0" w:color="auto"/>
        <w:left w:val="none" w:sz="0" w:space="0" w:color="auto"/>
        <w:bottom w:val="none" w:sz="0" w:space="0" w:color="auto"/>
        <w:right w:val="none" w:sz="0" w:space="0" w:color="auto"/>
      </w:divBdr>
      <w:divsChild>
        <w:div w:id="1292830714">
          <w:marLeft w:val="0"/>
          <w:marRight w:val="0"/>
          <w:marTop w:val="0"/>
          <w:marBottom w:val="0"/>
          <w:divBdr>
            <w:top w:val="none" w:sz="0" w:space="0" w:color="auto"/>
            <w:left w:val="none" w:sz="0" w:space="0" w:color="auto"/>
            <w:bottom w:val="none" w:sz="0" w:space="0" w:color="auto"/>
            <w:right w:val="none" w:sz="0" w:space="0" w:color="auto"/>
          </w:divBdr>
          <w:divsChild>
            <w:div w:id="1927955673">
              <w:marLeft w:val="0"/>
              <w:marRight w:val="0"/>
              <w:marTop w:val="0"/>
              <w:marBottom w:val="0"/>
              <w:divBdr>
                <w:top w:val="none" w:sz="0" w:space="0" w:color="auto"/>
                <w:left w:val="none" w:sz="0" w:space="0" w:color="auto"/>
                <w:bottom w:val="none" w:sz="0" w:space="0" w:color="auto"/>
                <w:right w:val="none" w:sz="0" w:space="0" w:color="auto"/>
              </w:divBdr>
              <w:divsChild>
                <w:div w:id="1777140042">
                  <w:marLeft w:val="0"/>
                  <w:marRight w:val="0"/>
                  <w:marTop w:val="0"/>
                  <w:marBottom w:val="0"/>
                  <w:divBdr>
                    <w:top w:val="none" w:sz="0" w:space="0" w:color="auto"/>
                    <w:left w:val="none" w:sz="0" w:space="0" w:color="auto"/>
                    <w:bottom w:val="none" w:sz="0" w:space="0" w:color="auto"/>
                    <w:right w:val="none" w:sz="0" w:space="0" w:color="auto"/>
                  </w:divBdr>
                  <w:divsChild>
                    <w:div w:id="176641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758975">
      <w:bodyDiv w:val="1"/>
      <w:marLeft w:val="0"/>
      <w:marRight w:val="0"/>
      <w:marTop w:val="0"/>
      <w:marBottom w:val="0"/>
      <w:divBdr>
        <w:top w:val="none" w:sz="0" w:space="0" w:color="auto"/>
        <w:left w:val="none" w:sz="0" w:space="0" w:color="auto"/>
        <w:bottom w:val="none" w:sz="0" w:space="0" w:color="auto"/>
        <w:right w:val="none" w:sz="0" w:space="0" w:color="auto"/>
      </w:divBdr>
    </w:div>
    <w:div w:id="481963962">
      <w:bodyDiv w:val="1"/>
      <w:marLeft w:val="0"/>
      <w:marRight w:val="0"/>
      <w:marTop w:val="0"/>
      <w:marBottom w:val="0"/>
      <w:divBdr>
        <w:top w:val="none" w:sz="0" w:space="0" w:color="auto"/>
        <w:left w:val="none" w:sz="0" w:space="0" w:color="auto"/>
        <w:bottom w:val="none" w:sz="0" w:space="0" w:color="auto"/>
        <w:right w:val="none" w:sz="0" w:space="0" w:color="auto"/>
      </w:divBdr>
    </w:div>
    <w:div w:id="597058855">
      <w:bodyDiv w:val="1"/>
      <w:marLeft w:val="0"/>
      <w:marRight w:val="0"/>
      <w:marTop w:val="0"/>
      <w:marBottom w:val="0"/>
      <w:divBdr>
        <w:top w:val="none" w:sz="0" w:space="0" w:color="auto"/>
        <w:left w:val="none" w:sz="0" w:space="0" w:color="auto"/>
        <w:bottom w:val="none" w:sz="0" w:space="0" w:color="auto"/>
        <w:right w:val="none" w:sz="0" w:space="0" w:color="auto"/>
      </w:divBdr>
      <w:divsChild>
        <w:div w:id="548961309">
          <w:marLeft w:val="0"/>
          <w:marRight w:val="0"/>
          <w:marTop w:val="0"/>
          <w:marBottom w:val="0"/>
          <w:divBdr>
            <w:top w:val="none" w:sz="0" w:space="0" w:color="auto"/>
            <w:left w:val="none" w:sz="0" w:space="0" w:color="auto"/>
            <w:bottom w:val="none" w:sz="0" w:space="0" w:color="auto"/>
            <w:right w:val="none" w:sz="0" w:space="0" w:color="auto"/>
          </w:divBdr>
          <w:divsChild>
            <w:div w:id="1445346472">
              <w:marLeft w:val="0"/>
              <w:marRight w:val="0"/>
              <w:marTop w:val="0"/>
              <w:marBottom w:val="0"/>
              <w:divBdr>
                <w:top w:val="none" w:sz="0" w:space="0" w:color="auto"/>
                <w:left w:val="none" w:sz="0" w:space="0" w:color="auto"/>
                <w:bottom w:val="none" w:sz="0" w:space="0" w:color="auto"/>
                <w:right w:val="none" w:sz="0" w:space="0" w:color="auto"/>
              </w:divBdr>
              <w:divsChild>
                <w:div w:id="1600062800">
                  <w:marLeft w:val="0"/>
                  <w:marRight w:val="0"/>
                  <w:marTop w:val="0"/>
                  <w:marBottom w:val="0"/>
                  <w:divBdr>
                    <w:top w:val="none" w:sz="0" w:space="0" w:color="auto"/>
                    <w:left w:val="none" w:sz="0" w:space="0" w:color="auto"/>
                    <w:bottom w:val="none" w:sz="0" w:space="0" w:color="auto"/>
                    <w:right w:val="none" w:sz="0" w:space="0" w:color="auto"/>
                  </w:divBdr>
                  <w:divsChild>
                    <w:div w:id="162380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098139">
      <w:bodyDiv w:val="1"/>
      <w:marLeft w:val="0"/>
      <w:marRight w:val="0"/>
      <w:marTop w:val="0"/>
      <w:marBottom w:val="0"/>
      <w:divBdr>
        <w:top w:val="none" w:sz="0" w:space="0" w:color="auto"/>
        <w:left w:val="none" w:sz="0" w:space="0" w:color="auto"/>
        <w:bottom w:val="none" w:sz="0" w:space="0" w:color="auto"/>
        <w:right w:val="none" w:sz="0" w:space="0" w:color="auto"/>
      </w:divBdr>
    </w:div>
    <w:div w:id="1074163934">
      <w:bodyDiv w:val="1"/>
      <w:marLeft w:val="0"/>
      <w:marRight w:val="0"/>
      <w:marTop w:val="0"/>
      <w:marBottom w:val="0"/>
      <w:divBdr>
        <w:top w:val="none" w:sz="0" w:space="0" w:color="auto"/>
        <w:left w:val="none" w:sz="0" w:space="0" w:color="auto"/>
        <w:bottom w:val="none" w:sz="0" w:space="0" w:color="auto"/>
        <w:right w:val="none" w:sz="0" w:space="0" w:color="auto"/>
      </w:divBdr>
      <w:divsChild>
        <w:div w:id="1281492353">
          <w:marLeft w:val="0"/>
          <w:marRight w:val="0"/>
          <w:marTop w:val="0"/>
          <w:marBottom w:val="0"/>
          <w:divBdr>
            <w:top w:val="none" w:sz="0" w:space="0" w:color="auto"/>
            <w:left w:val="none" w:sz="0" w:space="0" w:color="auto"/>
            <w:bottom w:val="none" w:sz="0" w:space="0" w:color="auto"/>
            <w:right w:val="none" w:sz="0" w:space="0" w:color="auto"/>
          </w:divBdr>
          <w:divsChild>
            <w:div w:id="1560045193">
              <w:marLeft w:val="0"/>
              <w:marRight w:val="0"/>
              <w:marTop w:val="0"/>
              <w:marBottom w:val="0"/>
              <w:divBdr>
                <w:top w:val="none" w:sz="0" w:space="0" w:color="auto"/>
                <w:left w:val="none" w:sz="0" w:space="0" w:color="auto"/>
                <w:bottom w:val="none" w:sz="0" w:space="0" w:color="auto"/>
                <w:right w:val="none" w:sz="0" w:space="0" w:color="auto"/>
              </w:divBdr>
              <w:divsChild>
                <w:div w:id="152640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7412">
      <w:bodyDiv w:val="1"/>
      <w:marLeft w:val="0"/>
      <w:marRight w:val="0"/>
      <w:marTop w:val="0"/>
      <w:marBottom w:val="0"/>
      <w:divBdr>
        <w:top w:val="none" w:sz="0" w:space="0" w:color="auto"/>
        <w:left w:val="none" w:sz="0" w:space="0" w:color="auto"/>
        <w:bottom w:val="none" w:sz="0" w:space="0" w:color="auto"/>
        <w:right w:val="none" w:sz="0" w:space="0" w:color="auto"/>
      </w:divBdr>
    </w:div>
    <w:div w:id="1130900475">
      <w:bodyDiv w:val="1"/>
      <w:marLeft w:val="0"/>
      <w:marRight w:val="0"/>
      <w:marTop w:val="0"/>
      <w:marBottom w:val="0"/>
      <w:divBdr>
        <w:top w:val="none" w:sz="0" w:space="0" w:color="auto"/>
        <w:left w:val="none" w:sz="0" w:space="0" w:color="auto"/>
        <w:bottom w:val="none" w:sz="0" w:space="0" w:color="auto"/>
        <w:right w:val="none" w:sz="0" w:space="0" w:color="auto"/>
      </w:divBdr>
    </w:div>
    <w:div w:id="1534151970">
      <w:bodyDiv w:val="1"/>
      <w:marLeft w:val="0"/>
      <w:marRight w:val="0"/>
      <w:marTop w:val="0"/>
      <w:marBottom w:val="0"/>
      <w:divBdr>
        <w:top w:val="none" w:sz="0" w:space="0" w:color="auto"/>
        <w:left w:val="none" w:sz="0" w:space="0" w:color="auto"/>
        <w:bottom w:val="none" w:sz="0" w:space="0" w:color="auto"/>
        <w:right w:val="none" w:sz="0" w:space="0" w:color="auto"/>
      </w:divBdr>
      <w:divsChild>
        <w:div w:id="1064068756">
          <w:marLeft w:val="0"/>
          <w:marRight w:val="0"/>
          <w:marTop w:val="0"/>
          <w:marBottom w:val="0"/>
          <w:divBdr>
            <w:top w:val="none" w:sz="0" w:space="0" w:color="auto"/>
            <w:left w:val="none" w:sz="0" w:space="0" w:color="auto"/>
            <w:bottom w:val="none" w:sz="0" w:space="0" w:color="auto"/>
            <w:right w:val="none" w:sz="0" w:space="0" w:color="auto"/>
          </w:divBdr>
          <w:divsChild>
            <w:div w:id="204952046">
              <w:marLeft w:val="0"/>
              <w:marRight w:val="0"/>
              <w:marTop w:val="0"/>
              <w:marBottom w:val="0"/>
              <w:divBdr>
                <w:top w:val="none" w:sz="0" w:space="0" w:color="auto"/>
                <w:left w:val="none" w:sz="0" w:space="0" w:color="auto"/>
                <w:bottom w:val="none" w:sz="0" w:space="0" w:color="auto"/>
                <w:right w:val="none" w:sz="0" w:space="0" w:color="auto"/>
              </w:divBdr>
              <w:divsChild>
                <w:div w:id="1535461248">
                  <w:marLeft w:val="0"/>
                  <w:marRight w:val="0"/>
                  <w:marTop w:val="0"/>
                  <w:marBottom w:val="0"/>
                  <w:divBdr>
                    <w:top w:val="none" w:sz="0" w:space="0" w:color="auto"/>
                    <w:left w:val="none" w:sz="0" w:space="0" w:color="auto"/>
                    <w:bottom w:val="none" w:sz="0" w:space="0" w:color="auto"/>
                    <w:right w:val="none" w:sz="0" w:space="0" w:color="auto"/>
                  </w:divBdr>
                  <w:divsChild>
                    <w:div w:id="187506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9651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ohjamin@staff.uns.ac.i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hyperlink" Target="https://creativecommons.org/licenses/by/4.0/" TargetMode="External"/><Relationship Id="rId2" Type="http://schemas.openxmlformats.org/officeDocument/2006/relationships/hyperlink" Target="http://dx.doi.org/10.20956/halrev.v1i1.212" TargetMode="External"/><Relationship Id="rId1" Type="http://schemas.openxmlformats.org/officeDocument/2006/relationships/hyperlink" Target="http://dx.doi.org/10.20956/halrev.v1i1.21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Downloads\%5bHALREV%5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b:Source>
    <b:Tag>Ber00</b:Tag>
    <b:SourceType>BookSection</b:SourceType>
    <b:Guid>{074EDD78-A5C3-48B2-B236-383D59B89D92}</b:Guid>
    <b:Author>
      <b:Author>
        <b:NameList>
          <b:Person>
            <b:Last>Bernard</b:Last>
            <b:First>Miriam</b:First>
          </b:Person>
          <b:Person>
            <b:Last>Chambers</b:Last>
            <b:First>Pat</b:First>
          </b:Person>
          <b:Person>
            <b:Last>Granville</b:Last>
            <b:First>Gillian</b:First>
          </b:Person>
        </b:NameList>
      </b:Author>
      <b:BookAuthor>
        <b:NameList>
          <b:Person>
            <b:Last>Bernard</b:Last>
            <b:First>Miriam</b:First>
          </b:Person>
          <b:Person>
            <b:Last>Phillips</b:Last>
            <b:First>Judith</b:First>
          </b:Person>
          <b:Person>
            <b:Last>Machin</b:Last>
            <b:First>Linda</b:First>
          </b:Person>
          <b:Person>
            <b:Last>Davies</b:Last>
            <b:First>Harding</b:First>
            <b:Middle>Val</b:Middle>
          </b:Person>
        </b:NameList>
      </b:BookAuthor>
    </b:Author>
    <b:Title>Women ageing:changing identities, challenging myths</b:Title>
    <b:Year>2000</b:Year>
    <b:City>London</b:City>
    <b:Publisher>Routledge</b:Publisher>
    <b:Medium>English</b:Medium>
    <b:BookTitle>Women Ageing Changing identities, challenging myths</b:BookTitle>
    <b:Pages>10</b:Pages>
    <b:RefOrder>1</b:RefOrder>
  </b:Source>
  <b:Source>
    <b:Tag>Mac82</b:Tag>
    <b:SourceType>JournalArticle</b:SourceType>
    <b:Guid>{A04D5D95-6A36-4469-8A94-CFA5D98CC478}</b:Guid>
    <b:Author>
      <b:Author>
        <b:NameList>
          <b:Person>
            <b:Last>Mackinnon</b:Last>
            <b:First>Catherine</b:First>
            <b:Middle>A.</b:Middle>
          </b:Person>
        </b:NameList>
      </b:Author>
    </b:Author>
    <b:Title>Feminism, Marxism, Method, and the State: An Agenda for Theory</b:Title>
    <b:Year>(Spring, 1982),</b:Year>
    <b:Pages>515-544</b:Pages>
    <b:Medium>English</b:Medium>
    <b:JournalName>Signs, Vol. 7, No. 3, Feminist Theory,The University of Chicago Press</b:JournalName>
    <b:RefOrder>2</b:RefOrder>
  </b:Source>
  <b:Source>
    <b:Tag>Bab15</b:Tag>
    <b:SourceType>JournalArticle</b:SourceType>
    <b:Guid>{D7818DEC-1975-4049-96DB-EDC84D8E21B9}</b:Guid>
    <b:Author>
      <b:Author>
        <b:NameList>
          <b:Person>
            <b:Last>Babatunde</b:Last>
            <b:First>Ekundayo</b:First>
            <b:Middle>B.</b:Middle>
          </b:Person>
          <b:Person>
            <b:Last>Durowaiye</b:Last>
            <b:First>Babatunde</b:First>
            <b:Middle>E.</b:Middle>
          </b:Person>
        </b:NameList>
      </b:Author>
    </b:Author>
    <b:Title>The Conception of ‘Sex’ and ‘Gender’ as Background to Inequities Faced by Women</b:Title>
    <b:JournalName>The Journal of Pan African Studies, vol.7, no. 8,</b:JournalName>
    <b:Year>March 2015</b:Year>
    <b:Pages>64-79</b:Pages>
    <b:Medium>English</b:Medium>
    <b:RefOrder>3</b:RefOrder>
  </b:Source>
  <b:Source>
    <b:Tag>ARE93</b:Tag>
    <b:SourceType>Report</b:SourceType>
    <b:Guid>{7C6689E9-E502-4217-8732-EAD69E8A0E47}</b:Guid>
    <b:Author>
      <b:Author>
        <b:NameList>
          <b:Person>
            <b:Last>A/RES/48/104</b:Last>
          </b:Person>
        </b:NameList>
      </b:Author>
    </b:Author>
    <b:Title>Declaration on the Elimination of Violence against Women</b:Title>
    <b:Year>1993</b:Year>
    <b:Publisher>http://www.un.org/documents/ga/res/48/a48r104.htm, Accessed on 17/03.16</b:Publisher>
    <b:Medium>english</b:Medium>
    <b:RefOrder>4</b:RefOrder>
  </b:Source>
  <b:Source>
    <b:Tag>Coo05</b:Tag>
    <b:SourceType>JournalArticle</b:SourceType>
    <b:Guid>{C2D0B74F-DD05-45C0-8B9E-E4F33532057B}</b:Guid>
    <b:Author>
      <b:Author>
        <b:NameList>
          <b:Person>
            <b:Last>Coomarswamy</b:Last>
            <b:First>Radhika</b:First>
          </b:Person>
        </b:NameList>
      </b:Author>
    </b:Author>
    <b:Title>Human Security and Gender Violence</b:Title>
    <b:Year>Oct. 29 - Nov. 4, 2005</b:Year>
    <b:Medium>english</b:Medium>
    <b:JournalName>Economic and Political Weekly, Vol. 40, No. 44/45</b:JournalName>
    <b:Pages>4729-4736</b:Pages>
    <b:RefOrder>5</b:RefOrder>
  </b:Source>
  <b:Source>
    <b:Tag>Cen12</b:Tag>
    <b:SourceType>Report</b:SourceType>
    <b:Guid>{4CD79B8B-C2F5-4380-B2B6-3EC51EB0306F}</b:Guid>
    <b:Author>
      <b:Author>
        <b:Corporate>Center forPolicy Research (CPR) at the Maxwell School of Syracuse University</b:Corporate>
      </b:Author>
    </b:Author>
    <b:Title>Quality of Life for All Ages, By Design, A conversation with Patricia Moore</b:Title>
    <b:Year>No. 46/2012</b:Year>
    <b:Medium>English</b:Medium>
    <b:Publisher>S y r a c u s e U n i v e r s i t y, Maxwell School of Citizenship and Public Affairs | Center for Policy Researchhttps://www.maxwell.syr.edu/uploadedFiles/cpr/publications/cpr_policy_briefs/Moore2011_policy_brief-Final.pdf, Accessed, 24/03/2016</b:Publisher>
    <b:ThesisType>Policy Brief</b:ThesisType>
    <b:RefOrder>6</b:RefOrder>
  </b:Source>
  <b:Source>
    <b:Tag>Kha</b:Tag>
    <b:SourceType>Report</b:SourceType>
    <b:Guid>{BADC8CFE-C8B1-4927-BC76-835F654EF7AD}</b:Guid>
    <b:Title>Khatoon Nisa v. State of U.P. and Ors.</b:Title>
    <b:Author>
      <b:Author>
        <b:NameList>
          <b:Person>
            <b:Last>SCALE</b:Last>
          </b:Person>
        </b:NameList>
      </b:Author>
    </b:Author>
    <b:Year>2002 (6) SCALE 165</b:Year>
    <b:RefOrder>10</b:RefOrder>
  </b:Source>
  <b:Source>
    <b:Tag>Dan</b:Tag>
    <b:SourceType>Report</b:SourceType>
    <b:Guid>{E4753FB6-D49F-41B9-BC4B-0717DCDAD58E}</b:Guid>
    <b:Title>Danial Latifi and another v. Union of India</b:Title>
    <b:Author>
      <b:Author>
        <b:NameList>
          <b:Person>
            <b:Last>SCC</b:Last>
          </b:Person>
        </b:NameList>
      </b:Author>
    </b:Author>
    <b:Year>(2001) 7 SCC 740</b:Year>
    <b:RefOrder>9</b:RefOrder>
  </b:Source>
  <b:Source>
    <b:Tag>SCC556</b:Tag>
    <b:SourceType>Report</b:SourceType>
    <b:Guid>{7530B880-249C-49FA-BAA2-F0C3B4960D5F}</b:Guid>
    <b:Title>Mohd. Ahmed Khan vs Shah Bano Begum And Ors</b:Title>
    <b:Year>1985 SCC (2) 556</b:Year>
    <b:Author>
      <b:Author>
        <b:NameList>
          <b:Person>
            <b:Last>SCC</b:Last>
          </b:Person>
        </b:NameList>
      </b:Author>
    </b:Author>
    <b:RefOrder>8</b:RefOrder>
  </b:Source>
  <b:Source>
    <b:Tag>www12</b:Tag>
    <b:SourceType>Report</b:SourceType>
    <b:Guid>{6225C023-4DCF-40A7-A05F-089A2E150F35}</b:Guid>
    <b:Author>
      <b:Author>
        <b:NameList>
          <b:Person>
            <b:Last>www.judis.nic.in</b:Last>
          </b:Person>
        </b:NameList>
      </b:Author>
    </b:Author>
    <b:Title>Shamim Bano vs Asraf Khan</b:Title>
    <b:Year>CRIMINAL APPEAL NO.820 OF 2014 (Arising out of S.L.P. (Criminal) No. 4377 of 2012)</b:Year>
    <b:RefOrder>11</b:RefOrder>
  </b:Source>
  <b:Source>
    <b:Tag>Hof13</b:Tag>
    <b:SourceType>ArticleInAPeriodical</b:SourceType>
    <b:Guid>{6FC922C7-9816-40D4-8AD1-20279AB72A82}</b:Guid>
    <b:Author>
      <b:Author>
        <b:NameList>
          <b:Person>
            <b:Last>Hoffman</b:Last>
          </b:Person>
        </b:NameList>
      </b:Author>
    </b:Author>
    <b:Title>Wathful eye in nursing homes</b:Title>
    <b:Year>2013</b:Year>
    <b:Medium>English</b:Medium>
    <b:PeriodicalTitle>New York Times &amp; http://well.blogs.nytimes.com/2013/11/18/watchful-eye-in-nursing-homes/?_r=0, Accessed on 26th March, 2016</b:PeriodicalTitle>
    <b:Month>November</b:Month>
    <b:Day>18th at 4:31 PM</b:Day>
    <b:RefOrder>7</b:RefOrder>
  </b:Source>
</b:Sources>
</file>

<file path=customXml/itemProps1.xml><?xml version="1.0" encoding="utf-8"?>
<ds:datastoreItem xmlns:ds="http://schemas.openxmlformats.org/officeDocument/2006/customXml" ds:itemID="{35AB2D28-41A7-8343-878A-71B367F82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[HALREV] TEMPLATE</Template>
  <TotalTime>27</TotalTime>
  <Pages>18</Pages>
  <Words>7132</Words>
  <Characters>40659</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47696</CharactersWithSpaces>
  <SharedDoc>false</SharedDoc>
  <HLinks>
    <vt:vector size="36" baseType="variant">
      <vt:variant>
        <vt:i4>2490476</vt:i4>
      </vt:variant>
      <vt:variant>
        <vt:i4>12</vt:i4>
      </vt:variant>
      <vt:variant>
        <vt:i4>0</vt:i4>
      </vt:variant>
      <vt:variant>
        <vt:i4>5</vt:i4>
      </vt:variant>
      <vt:variant>
        <vt:lpwstr>http://www.bbc.co.uk/indonesia/berita_indonesia/2012/12/121205_noken</vt:lpwstr>
      </vt:variant>
      <vt:variant>
        <vt:lpwstr/>
      </vt:variant>
      <vt:variant>
        <vt:i4>2424875</vt:i4>
      </vt:variant>
      <vt:variant>
        <vt:i4>9</vt:i4>
      </vt:variant>
      <vt:variant>
        <vt:i4>0</vt:i4>
      </vt:variant>
      <vt:variant>
        <vt:i4>5</vt:i4>
      </vt:variant>
      <vt:variant>
        <vt:lpwstr>http://dx.doi.org/10. 20956/halrev.v1n1.212</vt:lpwstr>
      </vt:variant>
      <vt:variant>
        <vt:lpwstr/>
      </vt:variant>
      <vt:variant>
        <vt:i4>7667718</vt:i4>
      </vt:variant>
      <vt:variant>
        <vt:i4>6</vt:i4>
      </vt:variant>
      <vt:variant>
        <vt:i4>0</vt:i4>
      </vt:variant>
      <vt:variant>
        <vt:i4>5</vt:i4>
      </vt:variant>
      <vt:variant>
        <vt:lpwstr>mailto:ahsanyunus@unhas.ac.id</vt:lpwstr>
      </vt:variant>
      <vt:variant>
        <vt:lpwstr/>
      </vt:variant>
      <vt:variant>
        <vt:i4>8126475</vt:i4>
      </vt:variant>
      <vt:variant>
        <vt:i4>3</vt:i4>
      </vt:variant>
      <vt:variant>
        <vt:i4>0</vt:i4>
      </vt:variant>
      <vt:variant>
        <vt:i4>5</vt:i4>
      </vt:variant>
      <vt:variant>
        <vt:lpwstr>mailto:aarne.puisto@gmail.com</vt:lpwstr>
      </vt:variant>
      <vt:variant>
        <vt:lpwstr/>
      </vt:variant>
      <vt:variant>
        <vt:i4>1048617</vt:i4>
      </vt:variant>
      <vt:variant>
        <vt:i4>0</vt:i4>
      </vt:variant>
      <vt:variant>
        <vt:i4>0</vt:i4>
      </vt:variant>
      <vt:variant>
        <vt:i4>5</vt:i4>
      </vt:variant>
      <vt:variant>
        <vt:lpwstr>mailto:irwansyahrawydharma@yahoo.com</vt:lpwstr>
      </vt:variant>
      <vt:variant>
        <vt:lpwstr/>
      </vt:variant>
      <vt:variant>
        <vt:i4>2424875</vt:i4>
      </vt:variant>
      <vt:variant>
        <vt:i4>0</vt:i4>
      </vt:variant>
      <vt:variant>
        <vt:i4>0</vt:i4>
      </vt:variant>
      <vt:variant>
        <vt:i4>5</vt:i4>
      </vt:variant>
      <vt:variant>
        <vt:lpwstr>http://dx.doi.org/10. 20956/halrev.v1n1.212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 pc</cp:lastModifiedBy>
  <cp:revision>1</cp:revision>
  <cp:lastPrinted>2021-04-15T21:24:00Z</cp:lastPrinted>
  <dcterms:created xsi:type="dcterms:W3CDTF">2022-12-05T11:18:00Z</dcterms:created>
  <dcterms:modified xsi:type="dcterms:W3CDTF">2022-12-05T11:49:00Z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1c3e704f-1f3e-3b79-91ca-579b7444787d</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12th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9th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Citation Style_1">
    <vt:lpwstr>http://www.zotero.org/styles/modern-humanities-research-association</vt:lpwstr>
  </property>
</Properties>
</file>